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FB9" w:rsidRDefault="00513FB9"/>
    <w:tbl>
      <w:tblPr>
        <w:tblW w:w="8964" w:type="dxa"/>
        <w:tblLook w:val="0000" w:firstRow="0" w:lastRow="0" w:firstColumn="0" w:lastColumn="0" w:noHBand="0" w:noVBand="0"/>
      </w:tblPr>
      <w:tblGrid>
        <w:gridCol w:w="3456"/>
        <w:gridCol w:w="5472"/>
        <w:gridCol w:w="36"/>
      </w:tblGrid>
      <w:tr w:rsidR="00513FB9" w:rsidRPr="007D7E0B" w:rsidTr="00513FB9">
        <w:trPr>
          <w:gridAfter w:val="1"/>
          <w:wAfter w:w="36" w:type="dxa"/>
        </w:trPr>
        <w:tc>
          <w:tcPr>
            <w:tcW w:w="8928" w:type="dxa"/>
            <w:gridSpan w:val="2"/>
            <w:tcBorders>
              <w:bottom w:val="single" w:sz="18" w:space="0" w:color="auto"/>
            </w:tcBorders>
          </w:tcPr>
          <w:p w:rsidR="00513FB9" w:rsidRDefault="00513FB9" w:rsidP="006D2C51">
            <w:pPr>
              <w:pStyle w:val="Infotext"/>
              <w:rPr>
                <w:rFonts w:ascii="Arial Black" w:hAnsi="Arial Black"/>
                <w:color w:val="999999"/>
                <w:sz w:val="36"/>
                <w:szCs w:val="36"/>
              </w:rPr>
            </w:pPr>
          </w:p>
          <w:p w:rsidR="00513FB9" w:rsidRDefault="0046670F" w:rsidP="006D2C51">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14:anchorId="7514173E" wp14:editId="1ECCA787">
                  <wp:simplePos x="0" y="0"/>
                  <wp:positionH relativeFrom="margin">
                    <wp:posOffset>-59055</wp:posOffset>
                  </wp:positionH>
                  <wp:positionV relativeFrom="margin">
                    <wp:posOffset>89535</wp:posOffset>
                  </wp:positionV>
                  <wp:extent cx="2009775" cy="495935"/>
                  <wp:effectExtent l="0" t="0" r="9525" b="0"/>
                  <wp:wrapSquare wrapText="bothSides"/>
                  <wp:docPr id="2" name="Picture 2"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row Counci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rsidR="00513FB9" w:rsidRDefault="00513FB9" w:rsidP="006D2C51">
            <w:pPr>
              <w:pStyle w:val="Infotext"/>
              <w:rPr>
                <w:rFonts w:ascii="Arial Black" w:hAnsi="Arial Black" w:cs="Arial"/>
                <w:sz w:val="36"/>
                <w:szCs w:val="36"/>
              </w:rPr>
            </w:pPr>
          </w:p>
        </w:tc>
      </w:tr>
      <w:tr w:rsidR="002A2389" w:rsidTr="00513FB9">
        <w:tc>
          <w:tcPr>
            <w:tcW w:w="3456" w:type="dxa"/>
            <w:tcBorders>
              <w:bottom w:val="single" w:sz="18" w:space="0" w:color="auto"/>
            </w:tcBorders>
          </w:tcPr>
          <w:p w:rsidR="002A2389" w:rsidRPr="00D32B51" w:rsidRDefault="00D32B51">
            <w:pPr>
              <w:pStyle w:val="Infotext"/>
              <w:rPr>
                <w:rFonts w:ascii="Arial Black" w:hAnsi="Arial Black"/>
                <w:color w:val="999999"/>
                <w:sz w:val="36"/>
                <w:szCs w:val="36"/>
              </w:rPr>
            </w:pPr>
            <w:r w:rsidRPr="00D32B51">
              <w:rPr>
                <w:rFonts w:ascii="Arial Black" w:hAnsi="Arial Black"/>
                <w:color w:val="999999"/>
                <w:sz w:val="36"/>
                <w:szCs w:val="36"/>
              </w:rPr>
              <w:t>REPORT FOR</w:t>
            </w:r>
            <w:r w:rsidR="002A2389" w:rsidRPr="00D32B51">
              <w:rPr>
                <w:rFonts w:ascii="Arial Black" w:hAnsi="Arial Black"/>
                <w:color w:val="999999"/>
                <w:sz w:val="36"/>
                <w:szCs w:val="36"/>
              </w:rPr>
              <w:t>:</w:t>
            </w:r>
          </w:p>
          <w:p w:rsidR="002A2389" w:rsidRPr="00F92398" w:rsidRDefault="002A2389">
            <w:pPr>
              <w:pStyle w:val="Infotext"/>
              <w:rPr>
                <w:rFonts w:ascii="Arial Black" w:hAnsi="Arial Black" w:cs="Arial"/>
              </w:rPr>
            </w:pPr>
          </w:p>
        </w:tc>
        <w:tc>
          <w:tcPr>
            <w:tcW w:w="5508" w:type="dxa"/>
            <w:gridSpan w:val="2"/>
            <w:tcBorders>
              <w:bottom w:val="single" w:sz="18" w:space="0" w:color="auto"/>
            </w:tcBorders>
          </w:tcPr>
          <w:p w:rsidR="002C1794" w:rsidRPr="00BE1C78" w:rsidRDefault="00BE1C78" w:rsidP="00D32B51">
            <w:pPr>
              <w:pStyle w:val="Infotext"/>
              <w:rPr>
                <w:rFonts w:ascii="Arial Black" w:hAnsi="Arial Black" w:cs="Arial"/>
                <w:sz w:val="36"/>
                <w:szCs w:val="36"/>
              </w:rPr>
            </w:pPr>
            <w:r w:rsidRPr="00BE1C78">
              <w:rPr>
                <w:rFonts w:ascii="Arial Black" w:hAnsi="Arial Black" w:cs="Arial"/>
                <w:sz w:val="36"/>
                <w:szCs w:val="36"/>
              </w:rPr>
              <w:t>HEALTH AND WELLBEING BOARD</w:t>
            </w:r>
          </w:p>
        </w:tc>
      </w:tr>
      <w:tr w:rsidR="002A2389" w:rsidTr="00513FB9">
        <w:tc>
          <w:tcPr>
            <w:tcW w:w="3456" w:type="dxa"/>
            <w:tcBorders>
              <w:top w:val="single" w:sz="18" w:space="0" w:color="auto"/>
            </w:tcBorders>
          </w:tcPr>
          <w:p w:rsidR="002A2389" w:rsidRPr="00F92398" w:rsidRDefault="002A2389">
            <w:pPr>
              <w:pStyle w:val="Infotext"/>
              <w:rPr>
                <w:rFonts w:ascii="Arial Black" w:hAnsi="Arial Black"/>
              </w:rPr>
            </w:pPr>
            <w:r w:rsidRPr="00F92398">
              <w:rPr>
                <w:rFonts w:ascii="Arial Black" w:hAnsi="Arial Black"/>
              </w:rPr>
              <w:t>Date</w:t>
            </w:r>
            <w:r w:rsidR="00AA4BE8">
              <w:rPr>
                <w:rFonts w:ascii="Arial Black" w:hAnsi="Arial Black"/>
              </w:rPr>
              <w:t xml:space="preserve"> of Meeting</w:t>
            </w:r>
            <w:r w:rsidRPr="00F92398">
              <w:rPr>
                <w:rFonts w:ascii="Arial Black" w:hAnsi="Arial Black"/>
              </w:rPr>
              <w:t>:</w:t>
            </w:r>
          </w:p>
          <w:p w:rsidR="002A2389" w:rsidRPr="00F92398" w:rsidRDefault="002A2389">
            <w:pPr>
              <w:pStyle w:val="Infotext"/>
              <w:rPr>
                <w:rFonts w:ascii="Arial Black" w:hAnsi="Arial Black" w:cs="Arial"/>
              </w:rPr>
            </w:pPr>
          </w:p>
        </w:tc>
        <w:tc>
          <w:tcPr>
            <w:tcW w:w="5508" w:type="dxa"/>
            <w:gridSpan w:val="2"/>
            <w:tcBorders>
              <w:top w:val="single" w:sz="18" w:space="0" w:color="auto"/>
            </w:tcBorders>
          </w:tcPr>
          <w:p w:rsidR="002A2389" w:rsidRDefault="00C736B5">
            <w:pPr>
              <w:pStyle w:val="Infotext"/>
              <w:rPr>
                <w:rFonts w:cs="Arial"/>
              </w:rPr>
            </w:pPr>
            <w:r>
              <w:rPr>
                <w:rFonts w:cs="Arial"/>
              </w:rPr>
              <w:t>2 May 2019</w:t>
            </w:r>
          </w:p>
        </w:tc>
      </w:tr>
      <w:tr w:rsidR="002A2389" w:rsidTr="00513FB9">
        <w:tc>
          <w:tcPr>
            <w:tcW w:w="3456" w:type="dxa"/>
          </w:tcPr>
          <w:p w:rsidR="002A2389" w:rsidRPr="00F92398" w:rsidRDefault="002A2389">
            <w:pPr>
              <w:pStyle w:val="Infotext"/>
              <w:rPr>
                <w:rFonts w:ascii="Arial Black" w:hAnsi="Arial Black" w:cs="Arial"/>
              </w:rPr>
            </w:pPr>
            <w:r w:rsidRPr="00F92398">
              <w:rPr>
                <w:rFonts w:ascii="Arial Black" w:hAnsi="Arial Black" w:cs="Arial"/>
              </w:rPr>
              <w:t>Subject:</w:t>
            </w:r>
          </w:p>
          <w:p w:rsidR="002A2389" w:rsidRPr="00F92398" w:rsidRDefault="002A2389">
            <w:pPr>
              <w:pStyle w:val="Infotext"/>
              <w:rPr>
                <w:rFonts w:ascii="Arial Black" w:hAnsi="Arial Black"/>
              </w:rPr>
            </w:pPr>
          </w:p>
        </w:tc>
        <w:tc>
          <w:tcPr>
            <w:tcW w:w="5508" w:type="dxa"/>
            <w:gridSpan w:val="2"/>
          </w:tcPr>
          <w:p w:rsidR="00C736B5" w:rsidRDefault="00C736B5" w:rsidP="00C736B5">
            <w:pPr>
              <w:rPr>
                <w:rFonts w:ascii="Arial Black" w:hAnsi="Arial Black" w:cs="Arial"/>
                <w:sz w:val="28"/>
              </w:rPr>
            </w:pPr>
            <w:r>
              <w:rPr>
                <w:rFonts w:ascii="Arial Black" w:hAnsi="Arial Black" w:cs="Arial"/>
                <w:sz w:val="28"/>
              </w:rPr>
              <w:t>Commissioning Capabilities Course</w:t>
            </w:r>
          </w:p>
          <w:p w:rsidR="002A2389" w:rsidRDefault="002A2389">
            <w:pPr>
              <w:pStyle w:val="Infotext"/>
              <w:rPr>
                <w:rFonts w:cs="Arial"/>
              </w:rPr>
            </w:pPr>
          </w:p>
        </w:tc>
      </w:tr>
      <w:tr w:rsidR="002A2389" w:rsidTr="00513FB9">
        <w:tc>
          <w:tcPr>
            <w:tcW w:w="3456" w:type="dxa"/>
          </w:tcPr>
          <w:p w:rsidR="002A2389" w:rsidRPr="00F92398" w:rsidRDefault="002A2389">
            <w:pPr>
              <w:pStyle w:val="Infotext"/>
              <w:rPr>
                <w:rFonts w:ascii="Arial Black" w:hAnsi="Arial Black" w:cs="Arial"/>
              </w:rPr>
            </w:pPr>
            <w:r w:rsidRPr="00F92398">
              <w:rPr>
                <w:rFonts w:ascii="Arial Black" w:hAnsi="Arial Black" w:cs="Arial"/>
              </w:rPr>
              <w:t>Responsible Officer:</w:t>
            </w:r>
          </w:p>
          <w:p w:rsidR="002A2389" w:rsidRPr="00F92398" w:rsidRDefault="002A2389">
            <w:pPr>
              <w:pStyle w:val="Infotext"/>
              <w:rPr>
                <w:rFonts w:ascii="Arial Black" w:hAnsi="Arial Black" w:cs="Arial"/>
              </w:rPr>
            </w:pPr>
          </w:p>
        </w:tc>
        <w:tc>
          <w:tcPr>
            <w:tcW w:w="5508" w:type="dxa"/>
            <w:gridSpan w:val="2"/>
          </w:tcPr>
          <w:p w:rsidR="00C736B5" w:rsidRDefault="00C736B5" w:rsidP="00C736B5">
            <w:pPr>
              <w:rPr>
                <w:rFonts w:cs="Arial"/>
                <w:sz w:val="28"/>
              </w:rPr>
            </w:pPr>
            <w:r>
              <w:rPr>
                <w:rFonts w:cs="Arial"/>
                <w:sz w:val="28"/>
              </w:rPr>
              <w:t>Javina Sehgal,</w:t>
            </w:r>
            <w:r w:rsidR="00244F89">
              <w:rPr>
                <w:rFonts w:cs="Arial"/>
                <w:sz w:val="28"/>
              </w:rPr>
              <w:t xml:space="preserve"> </w:t>
            </w:r>
            <w:r>
              <w:rPr>
                <w:rFonts w:cs="Arial"/>
                <w:sz w:val="28"/>
              </w:rPr>
              <w:t xml:space="preserve">Managing Director </w:t>
            </w:r>
          </w:p>
          <w:p w:rsidR="00C736B5" w:rsidRDefault="00C736B5" w:rsidP="00C736B5">
            <w:pPr>
              <w:rPr>
                <w:rFonts w:cs="Arial"/>
                <w:sz w:val="28"/>
              </w:rPr>
            </w:pPr>
            <w:r>
              <w:rPr>
                <w:rFonts w:cs="Arial"/>
                <w:sz w:val="28"/>
              </w:rPr>
              <w:t>NHS Harrow CCG</w:t>
            </w:r>
          </w:p>
          <w:p w:rsidR="00B33815" w:rsidRDefault="00B33815" w:rsidP="00C736B5">
            <w:pPr>
              <w:rPr>
                <w:rFonts w:cs="Arial"/>
                <w:sz w:val="28"/>
              </w:rPr>
            </w:pPr>
          </w:p>
          <w:p w:rsidR="00C736B5" w:rsidRDefault="00B33815" w:rsidP="00C736B5">
            <w:pPr>
              <w:rPr>
                <w:rFonts w:cs="Arial"/>
                <w:sz w:val="28"/>
              </w:rPr>
            </w:pPr>
            <w:r>
              <w:rPr>
                <w:rFonts w:cs="Arial"/>
                <w:sz w:val="28"/>
              </w:rPr>
              <w:t>Paul Hewitt</w:t>
            </w:r>
            <w:r w:rsidR="00C736B5">
              <w:rPr>
                <w:rFonts w:cs="Arial"/>
                <w:sz w:val="28"/>
              </w:rPr>
              <w:t xml:space="preserve">, </w:t>
            </w:r>
            <w:r>
              <w:rPr>
                <w:rFonts w:cs="Arial"/>
                <w:sz w:val="28"/>
              </w:rPr>
              <w:t xml:space="preserve">Corporate </w:t>
            </w:r>
            <w:r w:rsidR="00C736B5">
              <w:rPr>
                <w:rFonts w:cs="Arial"/>
                <w:sz w:val="28"/>
              </w:rPr>
              <w:t xml:space="preserve">Director </w:t>
            </w:r>
            <w:r>
              <w:rPr>
                <w:rFonts w:cs="Arial"/>
                <w:sz w:val="28"/>
              </w:rPr>
              <w:t>People</w:t>
            </w:r>
            <w:r w:rsidR="00C736B5">
              <w:rPr>
                <w:rFonts w:cs="Arial"/>
                <w:sz w:val="28"/>
              </w:rPr>
              <w:t xml:space="preserve"> Services, Harrow Council</w:t>
            </w:r>
          </w:p>
          <w:p w:rsidR="007D56C8" w:rsidRDefault="007D56C8" w:rsidP="00C736B5">
            <w:pPr>
              <w:pStyle w:val="Infotext"/>
              <w:rPr>
                <w:rFonts w:cs="Arial"/>
              </w:rPr>
            </w:pPr>
          </w:p>
        </w:tc>
      </w:tr>
      <w:tr w:rsidR="002A2389" w:rsidTr="00513FB9">
        <w:tc>
          <w:tcPr>
            <w:tcW w:w="3456" w:type="dxa"/>
          </w:tcPr>
          <w:p w:rsidR="002A2389" w:rsidRPr="00F92398" w:rsidRDefault="00BE1C78">
            <w:pPr>
              <w:pStyle w:val="Infotext"/>
              <w:rPr>
                <w:rFonts w:ascii="Arial Black" w:hAnsi="Arial Black" w:cs="Arial"/>
              </w:rPr>
            </w:pPr>
            <w:r>
              <w:rPr>
                <w:rFonts w:ascii="Arial Black" w:hAnsi="Arial Black" w:cs="Arial"/>
              </w:rPr>
              <w:t>Public</w:t>
            </w:r>
            <w:r w:rsidR="002A2389" w:rsidRPr="00F92398">
              <w:rPr>
                <w:rFonts w:ascii="Arial Black" w:hAnsi="Arial Black" w:cs="Arial"/>
              </w:rPr>
              <w:t>:</w:t>
            </w:r>
          </w:p>
          <w:p w:rsidR="002A2389" w:rsidRPr="00F92398" w:rsidRDefault="002A2389">
            <w:pPr>
              <w:pStyle w:val="Infotext"/>
              <w:rPr>
                <w:rFonts w:ascii="Arial Black" w:hAnsi="Arial Black" w:cs="Arial"/>
              </w:rPr>
            </w:pPr>
          </w:p>
        </w:tc>
        <w:tc>
          <w:tcPr>
            <w:tcW w:w="5508" w:type="dxa"/>
            <w:gridSpan w:val="2"/>
          </w:tcPr>
          <w:p w:rsidR="002A2389" w:rsidRDefault="008A44C2" w:rsidP="00B33815">
            <w:pPr>
              <w:pStyle w:val="Infotext"/>
              <w:rPr>
                <w:rFonts w:cs="Arial"/>
              </w:rPr>
            </w:pPr>
            <w:r>
              <w:rPr>
                <w:rFonts w:cs="Arial"/>
              </w:rPr>
              <w:t>Yes</w:t>
            </w:r>
          </w:p>
        </w:tc>
      </w:tr>
      <w:tr w:rsidR="00C736B5" w:rsidTr="00513FB9">
        <w:tc>
          <w:tcPr>
            <w:tcW w:w="3456" w:type="dxa"/>
          </w:tcPr>
          <w:p w:rsidR="00C736B5" w:rsidRDefault="00C736B5">
            <w:pPr>
              <w:pStyle w:val="Infotext"/>
              <w:rPr>
                <w:rFonts w:ascii="Arial Black" w:hAnsi="Arial Black" w:cs="Arial"/>
              </w:rPr>
            </w:pPr>
            <w:r>
              <w:rPr>
                <w:rFonts w:ascii="Arial Black" w:hAnsi="Arial Black" w:cs="Arial"/>
              </w:rPr>
              <w:t>Wards affected:</w:t>
            </w:r>
          </w:p>
          <w:p w:rsidR="00C736B5" w:rsidRPr="00F92398" w:rsidRDefault="00C736B5">
            <w:pPr>
              <w:pStyle w:val="Infotext"/>
              <w:rPr>
                <w:rFonts w:ascii="Arial Black" w:hAnsi="Arial Black" w:cs="Arial"/>
              </w:rPr>
            </w:pPr>
          </w:p>
        </w:tc>
        <w:tc>
          <w:tcPr>
            <w:tcW w:w="5508" w:type="dxa"/>
            <w:gridSpan w:val="2"/>
          </w:tcPr>
          <w:p w:rsidR="00C736B5" w:rsidRDefault="00B33815" w:rsidP="00776A38">
            <w:pPr>
              <w:rPr>
                <w:rFonts w:cs="Arial"/>
                <w:sz w:val="28"/>
              </w:rPr>
            </w:pPr>
            <w:r>
              <w:rPr>
                <w:rFonts w:cs="Arial"/>
                <w:sz w:val="28"/>
              </w:rPr>
              <w:t>All</w:t>
            </w:r>
            <w:r w:rsidR="00C736B5">
              <w:rPr>
                <w:rFonts w:cs="Arial"/>
                <w:sz w:val="28"/>
              </w:rPr>
              <w:t xml:space="preserve"> </w:t>
            </w:r>
          </w:p>
        </w:tc>
      </w:tr>
      <w:tr w:rsidR="00C736B5" w:rsidTr="00513FB9">
        <w:tc>
          <w:tcPr>
            <w:tcW w:w="3456" w:type="dxa"/>
          </w:tcPr>
          <w:p w:rsidR="00C736B5" w:rsidRPr="00F92398" w:rsidRDefault="00C736B5">
            <w:pPr>
              <w:pStyle w:val="Infotext"/>
              <w:rPr>
                <w:rFonts w:ascii="Arial Black" w:hAnsi="Arial Black" w:cs="Arial"/>
              </w:rPr>
            </w:pPr>
          </w:p>
          <w:p w:rsidR="00C736B5" w:rsidRPr="00F92398" w:rsidRDefault="00C736B5">
            <w:pPr>
              <w:pStyle w:val="Infotext"/>
              <w:rPr>
                <w:rFonts w:ascii="Arial Black" w:hAnsi="Arial Black" w:cs="Arial"/>
              </w:rPr>
            </w:pPr>
            <w:r w:rsidRPr="00F92398">
              <w:rPr>
                <w:rFonts w:ascii="Arial Black" w:hAnsi="Arial Black" w:cs="Arial"/>
              </w:rPr>
              <w:t>Enclosures:</w:t>
            </w:r>
          </w:p>
          <w:p w:rsidR="00C736B5" w:rsidRPr="00F92398" w:rsidRDefault="00C736B5">
            <w:pPr>
              <w:pStyle w:val="Infotext"/>
              <w:rPr>
                <w:rFonts w:ascii="Arial Black" w:hAnsi="Arial Black" w:cs="Arial"/>
              </w:rPr>
            </w:pPr>
          </w:p>
        </w:tc>
        <w:tc>
          <w:tcPr>
            <w:tcW w:w="5508" w:type="dxa"/>
            <w:gridSpan w:val="2"/>
          </w:tcPr>
          <w:p w:rsidR="00C736B5" w:rsidRDefault="00C736B5">
            <w:pPr>
              <w:pStyle w:val="Infotext"/>
            </w:pPr>
          </w:p>
          <w:p w:rsidR="00C736B5" w:rsidRDefault="00C736B5">
            <w:pPr>
              <w:pStyle w:val="Infotext"/>
            </w:pPr>
            <w:r>
              <w:rPr>
                <w:rFonts w:cs="Arial"/>
              </w:rPr>
              <w:t xml:space="preserve">Annexe A: </w:t>
            </w:r>
            <w:r w:rsidRPr="005D6A90">
              <w:rPr>
                <w:rFonts w:eastAsia="Calibri" w:cs="Arial"/>
                <w:bCs/>
                <w:szCs w:val="28"/>
              </w:rPr>
              <w:t>Commissioning Capability Programme</w:t>
            </w:r>
            <w:r>
              <w:rPr>
                <w:rFonts w:eastAsia="Calibri" w:cs="Arial"/>
                <w:bCs/>
                <w:szCs w:val="28"/>
              </w:rPr>
              <w:t xml:space="preserve"> Terms of Reference</w:t>
            </w:r>
          </w:p>
        </w:tc>
      </w:tr>
    </w:tbl>
    <w:p w:rsidR="002A2389" w:rsidRDefault="002A2389">
      <w:pPr>
        <w:rPr>
          <w:rFonts w:cs="Arial"/>
        </w:rPr>
      </w:pPr>
    </w:p>
    <w:p w:rsidR="002A2389" w:rsidRDefault="002A2389">
      <w:pPr>
        <w:rPr>
          <w:rFonts w:cs="Aria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7"/>
      </w:tblGrid>
      <w:tr w:rsidR="00675FCB">
        <w:tc>
          <w:tcPr>
            <w:tcW w:w="8897" w:type="dxa"/>
            <w:tcBorders>
              <w:top w:val="nil"/>
              <w:left w:val="nil"/>
              <w:right w:val="nil"/>
            </w:tcBorders>
          </w:tcPr>
          <w:p w:rsidR="00675FCB" w:rsidRDefault="00675FCB" w:rsidP="00675FCB">
            <w:pPr>
              <w:pStyle w:val="Heading1"/>
            </w:pPr>
            <w:r>
              <w:t>Section 1 – Summary and Recommendations</w:t>
            </w:r>
          </w:p>
          <w:p w:rsidR="00675FCB" w:rsidRDefault="00675FCB"/>
        </w:tc>
      </w:tr>
      <w:tr w:rsidR="002A2389">
        <w:tc>
          <w:tcPr>
            <w:tcW w:w="8897" w:type="dxa"/>
          </w:tcPr>
          <w:p w:rsidR="002A2389" w:rsidRDefault="002A2389"/>
          <w:p w:rsidR="00C736B5" w:rsidRDefault="00C736B5" w:rsidP="00C736B5">
            <w:r w:rsidRPr="00A523BC">
              <w:t xml:space="preserve">This report </w:t>
            </w:r>
            <w:r>
              <w:t>provides</w:t>
            </w:r>
            <w:r w:rsidRPr="00A523BC">
              <w:t xml:space="preserve"> an update for the committee on </w:t>
            </w:r>
            <w:r>
              <w:t>the Commissioning Capability Programme (CCP) in progress across Harrow which involves key stakeholders across the Borough.</w:t>
            </w:r>
          </w:p>
          <w:p w:rsidR="001F1601" w:rsidRDefault="001F1601" w:rsidP="00C736B5"/>
          <w:p w:rsidR="001F1601" w:rsidRDefault="001F1601" w:rsidP="00C736B5">
            <w:pPr>
              <w:rPr>
                <w:b/>
                <w:sz w:val="28"/>
                <w:szCs w:val="28"/>
              </w:rPr>
            </w:pPr>
            <w:r w:rsidRPr="001F1601">
              <w:rPr>
                <w:b/>
                <w:sz w:val="28"/>
                <w:szCs w:val="28"/>
              </w:rPr>
              <w:t>Recommendations:</w:t>
            </w:r>
          </w:p>
          <w:p w:rsidR="008A44C2" w:rsidRDefault="008A44C2" w:rsidP="00C736B5">
            <w:pPr>
              <w:rPr>
                <w:b/>
                <w:sz w:val="28"/>
                <w:szCs w:val="28"/>
              </w:rPr>
            </w:pPr>
          </w:p>
          <w:p w:rsidR="008A44C2" w:rsidRPr="00B33815" w:rsidRDefault="008A44C2" w:rsidP="00C736B5">
            <w:pPr>
              <w:rPr>
                <w:rFonts w:cs="Arial"/>
                <w:szCs w:val="24"/>
              </w:rPr>
            </w:pPr>
            <w:r w:rsidRPr="00B33815">
              <w:rPr>
                <w:szCs w:val="24"/>
              </w:rPr>
              <w:t>The board note the report</w:t>
            </w:r>
          </w:p>
          <w:p w:rsidR="002A2389" w:rsidRPr="00B33815" w:rsidRDefault="002A2389"/>
          <w:p w:rsidR="002A2389" w:rsidRDefault="00C736B5" w:rsidP="00C736B5">
            <w:pPr>
              <w:ind w:left="720" w:hanging="720"/>
              <w:jc w:val="both"/>
            </w:pPr>
            <w:r>
              <w:rPr>
                <w:rFonts w:cs="Arial"/>
                <w:b/>
                <w:bCs/>
                <w:sz w:val="28"/>
              </w:rPr>
              <w:t>FOR INFORMATION</w:t>
            </w:r>
          </w:p>
          <w:p w:rsidR="002A2389" w:rsidRDefault="002A2389"/>
          <w:p w:rsidR="002A2389" w:rsidRDefault="002A2389">
            <w:pPr>
              <w:jc w:val="both"/>
              <w:rPr>
                <w:rFonts w:cs="Arial"/>
              </w:rPr>
            </w:pPr>
          </w:p>
        </w:tc>
      </w:tr>
    </w:tbl>
    <w:p w:rsidR="00F67AF4" w:rsidRDefault="00F67AF4" w:rsidP="00F67AF4">
      <w:pPr>
        <w:rPr>
          <w:rFonts w:cs="Arial"/>
          <w:b/>
          <w:bCs/>
        </w:rPr>
      </w:pPr>
    </w:p>
    <w:p w:rsidR="00F67AF4" w:rsidRDefault="00F67AF4" w:rsidP="00F67AF4">
      <w:pPr>
        <w:pStyle w:val="Heading1"/>
        <w:rPr>
          <w:rFonts w:cs="Times New Roman"/>
        </w:rPr>
      </w:pPr>
      <w:r>
        <w:lastRenderedPageBreak/>
        <w:t>Section 2 – Report</w:t>
      </w:r>
    </w:p>
    <w:p w:rsidR="00F67AF4" w:rsidRDefault="00F67AF4" w:rsidP="00F67AF4">
      <w:pPr>
        <w:rPr>
          <w:rFonts w:cs="Arial"/>
        </w:rPr>
      </w:pPr>
    </w:p>
    <w:p w:rsidR="00F67AF4" w:rsidRDefault="00F67AF4" w:rsidP="00F67AF4">
      <w:pPr>
        <w:rPr>
          <w:rFonts w:eastAsia="Calibri" w:cs="Arial"/>
          <w:szCs w:val="24"/>
        </w:rPr>
      </w:pPr>
      <w:r>
        <w:rPr>
          <w:rFonts w:eastAsia="Calibri" w:cs="Arial"/>
          <w:b/>
          <w:bCs/>
          <w:szCs w:val="24"/>
        </w:rPr>
        <w:t>Introduction and context</w:t>
      </w:r>
    </w:p>
    <w:p w:rsidR="00F67AF4" w:rsidRDefault="00F67AF4" w:rsidP="00F67AF4">
      <w:pPr>
        <w:rPr>
          <w:rFonts w:eastAsia="Calibri" w:cs="Arial"/>
          <w:szCs w:val="24"/>
        </w:rPr>
      </w:pPr>
      <w:r>
        <w:rPr>
          <w:rFonts w:eastAsia="Calibri" w:cs="Arial"/>
          <w:szCs w:val="24"/>
        </w:rPr>
        <w:t>To achieve the objectives set out in the</w:t>
      </w:r>
      <w:r w:rsidR="00B33815">
        <w:rPr>
          <w:rFonts w:eastAsia="Calibri" w:cs="Arial"/>
          <w:szCs w:val="24"/>
        </w:rPr>
        <w:t xml:space="preserve"> NHS Long Term Plan, the NHS in England requires </w:t>
      </w:r>
      <w:r>
        <w:rPr>
          <w:rFonts w:eastAsia="Calibri" w:cs="Arial"/>
          <w:szCs w:val="24"/>
        </w:rPr>
        <w:t xml:space="preserve">commissioning capabilities that can deliver better care and health at lower cost. While the strategic focus of NHS England remains on developing a programme to help organisations migrate towards new models of care, feedback from the system has highlighted a ‘here and now’ need to build the longer-term capability of senior commissioners in the health and care system. </w:t>
      </w:r>
    </w:p>
    <w:p w:rsidR="00F67AF4" w:rsidRDefault="00F67AF4" w:rsidP="00F67AF4">
      <w:pPr>
        <w:rPr>
          <w:rFonts w:eastAsia="Calibri" w:cs="Arial"/>
          <w:szCs w:val="24"/>
        </w:rPr>
      </w:pPr>
    </w:p>
    <w:p w:rsidR="00F67AF4" w:rsidRDefault="00F67AF4" w:rsidP="00F67AF4">
      <w:pPr>
        <w:rPr>
          <w:rFonts w:eastAsia="Calibri" w:cs="Arial"/>
          <w:szCs w:val="24"/>
        </w:rPr>
      </w:pPr>
      <w:r>
        <w:rPr>
          <w:rFonts w:eastAsia="Calibri" w:cs="Arial"/>
          <w:szCs w:val="24"/>
        </w:rPr>
        <w:t xml:space="preserve">Accordingly, NHS England is investing in a major capability building programme for senior commissioning leadership over the next 15 months in order to help these leaders develop the skills they need to tackle today’s and tomorrow’s challenges across the health system. </w:t>
      </w:r>
    </w:p>
    <w:p w:rsidR="00F67AF4" w:rsidRDefault="00F67AF4" w:rsidP="00F67AF4">
      <w:pPr>
        <w:rPr>
          <w:rFonts w:eastAsia="Calibri" w:cs="Arial"/>
          <w:szCs w:val="24"/>
        </w:rPr>
      </w:pPr>
    </w:p>
    <w:p w:rsidR="00F67AF4" w:rsidRDefault="00F67AF4" w:rsidP="00F67AF4">
      <w:pPr>
        <w:rPr>
          <w:rFonts w:eastAsia="Calibri" w:cs="Arial"/>
          <w:szCs w:val="24"/>
        </w:rPr>
      </w:pPr>
      <w:r>
        <w:rPr>
          <w:rFonts w:eastAsia="Calibri" w:cs="Arial"/>
          <w:b/>
          <w:bCs/>
          <w:szCs w:val="24"/>
        </w:rPr>
        <w:t>The Commissioning Capability Programme</w:t>
      </w:r>
    </w:p>
    <w:p w:rsidR="00F67AF4" w:rsidRDefault="00B33815" w:rsidP="00F67AF4">
      <w:pPr>
        <w:rPr>
          <w:rFonts w:eastAsia="Calibri" w:cs="Arial"/>
          <w:szCs w:val="24"/>
        </w:rPr>
      </w:pPr>
      <w:r>
        <w:rPr>
          <w:rFonts w:eastAsia="Calibri" w:cs="Arial"/>
          <w:szCs w:val="24"/>
        </w:rPr>
        <w:t xml:space="preserve">The </w:t>
      </w:r>
      <w:proofErr w:type="spellStart"/>
      <w:r>
        <w:rPr>
          <w:rFonts w:eastAsia="Calibri" w:cs="Arial"/>
          <w:szCs w:val="24"/>
        </w:rPr>
        <w:t>Optum</w:t>
      </w:r>
      <w:proofErr w:type="spellEnd"/>
      <w:r>
        <w:rPr>
          <w:rFonts w:eastAsia="Calibri" w:cs="Arial"/>
          <w:szCs w:val="24"/>
        </w:rPr>
        <w:t xml:space="preserve"> </w:t>
      </w:r>
      <w:r w:rsidR="00F67AF4">
        <w:rPr>
          <w:rFonts w:eastAsia="Calibri" w:cs="Arial"/>
          <w:szCs w:val="24"/>
        </w:rPr>
        <w:t>Alliance was selected through a competitive tender process</w:t>
      </w:r>
      <w:r>
        <w:rPr>
          <w:rFonts w:eastAsia="Calibri" w:cs="Arial"/>
          <w:szCs w:val="24"/>
        </w:rPr>
        <w:t xml:space="preserve"> as the preferred supplier. The </w:t>
      </w:r>
      <w:proofErr w:type="spellStart"/>
      <w:r>
        <w:rPr>
          <w:rFonts w:eastAsia="Calibri" w:cs="Arial"/>
          <w:szCs w:val="24"/>
        </w:rPr>
        <w:t>Optum</w:t>
      </w:r>
      <w:proofErr w:type="spellEnd"/>
      <w:r>
        <w:rPr>
          <w:rFonts w:eastAsia="Calibri" w:cs="Arial"/>
          <w:szCs w:val="24"/>
        </w:rPr>
        <w:t xml:space="preserve"> Alliance is formed of </w:t>
      </w:r>
      <w:proofErr w:type="spellStart"/>
      <w:r w:rsidR="00F67AF4">
        <w:rPr>
          <w:rFonts w:eastAsia="Calibri" w:cs="Arial"/>
          <w:szCs w:val="24"/>
        </w:rPr>
        <w:t>Optum</w:t>
      </w:r>
      <w:proofErr w:type="spellEnd"/>
      <w:r>
        <w:rPr>
          <w:rFonts w:eastAsia="Calibri" w:cs="Arial"/>
          <w:szCs w:val="24"/>
        </w:rPr>
        <w:t xml:space="preserve"> </w:t>
      </w:r>
      <w:r w:rsidR="00F67AF4">
        <w:rPr>
          <w:rFonts w:eastAsia="Calibri" w:cs="Arial"/>
          <w:szCs w:val="24"/>
        </w:rPr>
        <w:t xml:space="preserve">Health Solutions and PricewaterhouseCoopers. </w:t>
      </w:r>
    </w:p>
    <w:p w:rsidR="00F67AF4" w:rsidRDefault="00F67AF4" w:rsidP="00F67AF4">
      <w:pPr>
        <w:rPr>
          <w:rFonts w:eastAsia="Calibri" w:cs="Arial"/>
          <w:szCs w:val="24"/>
        </w:rPr>
      </w:pPr>
    </w:p>
    <w:p w:rsidR="00F67AF4" w:rsidRDefault="00F67AF4" w:rsidP="00F67AF4">
      <w:pPr>
        <w:rPr>
          <w:rFonts w:eastAsia="Calibri" w:cs="Arial"/>
          <w:szCs w:val="24"/>
        </w:rPr>
      </w:pPr>
      <w:r>
        <w:rPr>
          <w:rFonts w:eastAsia="Calibri" w:cs="Arial"/>
          <w:szCs w:val="24"/>
        </w:rPr>
        <w:t xml:space="preserve">The CCP is a 12 week programme which aims to develop the leadership capability of senior commissioning leadership teams across five learning streams: </w:t>
      </w:r>
    </w:p>
    <w:p w:rsidR="00F67AF4" w:rsidRDefault="00F67AF4" w:rsidP="00F67AF4">
      <w:pPr>
        <w:rPr>
          <w:rFonts w:eastAsia="Calibri" w:cs="Arial"/>
          <w:szCs w:val="24"/>
        </w:rPr>
      </w:pPr>
    </w:p>
    <w:p w:rsidR="00F67AF4" w:rsidRDefault="00F67AF4" w:rsidP="00F67AF4">
      <w:pPr>
        <w:numPr>
          <w:ilvl w:val="0"/>
          <w:numId w:val="14"/>
        </w:numPr>
        <w:rPr>
          <w:rFonts w:eastAsia="Calibri" w:cs="Arial"/>
          <w:szCs w:val="24"/>
        </w:rPr>
      </w:pPr>
      <w:r>
        <w:rPr>
          <w:rFonts w:eastAsia="Calibri" w:cs="Arial"/>
          <w:szCs w:val="24"/>
        </w:rPr>
        <w:t>Building a sustainable strategy;</w:t>
      </w:r>
    </w:p>
    <w:p w:rsidR="00F67AF4" w:rsidRDefault="00F67AF4" w:rsidP="00F67AF4">
      <w:pPr>
        <w:numPr>
          <w:ilvl w:val="0"/>
          <w:numId w:val="14"/>
        </w:numPr>
        <w:rPr>
          <w:rFonts w:eastAsia="Calibri" w:cs="Arial"/>
          <w:szCs w:val="24"/>
        </w:rPr>
      </w:pPr>
      <w:r>
        <w:rPr>
          <w:rFonts w:eastAsia="Calibri" w:cs="Arial"/>
          <w:szCs w:val="24"/>
        </w:rPr>
        <w:t>Financial planning and recovery;</w:t>
      </w:r>
    </w:p>
    <w:p w:rsidR="00F67AF4" w:rsidRDefault="00F67AF4" w:rsidP="00F67AF4">
      <w:pPr>
        <w:numPr>
          <w:ilvl w:val="0"/>
          <w:numId w:val="14"/>
        </w:numPr>
        <w:rPr>
          <w:rFonts w:eastAsia="Calibri" w:cs="Arial"/>
          <w:szCs w:val="24"/>
        </w:rPr>
      </w:pPr>
      <w:r>
        <w:rPr>
          <w:rFonts w:eastAsia="Calibri" w:cs="Arial"/>
          <w:szCs w:val="24"/>
        </w:rPr>
        <w:t>Governance;</w:t>
      </w:r>
    </w:p>
    <w:p w:rsidR="00F67AF4" w:rsidRDefault="00F67AF4" w:rsidP="00F67AF4">
      <w:pPr>
        <w:numPr>
          <w:ilvl w:val="0"/>
          <w:numId w:val="14"/>
        </w:numPr>
        <w:rPr>
          <w:rFonts w:eastAsia="Calibri" w:cs="Arial"/>
          <w:szCs w:val="24"/>
        </w:rPr>
      </w:pPr>
      <w:r>
        <w:rPr>
          <w:rFonts w:eastAsia="Calibri" w:cs="Arial"/>
          <w:szCs w:val="24"/>
        </w:rPr>
        <w:t xml:space="preserve">Executing and implementation; and </w:t>
      </w:r>
    </w:p>
    <w:p w:rsidR="00F67AF4" w:rsidRDefault="00F67AF4" w:rsidP="00F67AF4">
      <w:pPr>
        <w:numPr>
          <w:ilvl w:val="0"/>
          <w:numId w:val="14"/>
        </w:numPr>
        <w:rPr>
          <w:rFonts w:eastAsia="Calibri" w:cs="Arial"/>
          <w:szCs w:val="24"/>
        </w:rPr>
      </w:pPr>
      <w:r>
        <w:rPr>
          <w:rFonts w:eastAsia="Calibri" w:cs="Arial"/>
          <w:szCs w:val="24"/>
        </w:rPr>
        <w:t xml:space="preserve">Managing and influencing. </w:t>
      </w:r>
    </w:p>
    <w:p w:rsidR="00F67AF4" w:rsidRDefault="00F67AF4" w:rsidP="00F67AF4">
      <w:pPr>
        <w:ind w:left="720"/>
        <w:rPr>
          <w:rFonts w:eastAsia="Calibri" w:cs="Arial"/>
          <w:szCs w:val="24"/>
        </w:rPr>
      </w:pPr>
    </w:p>
    <w:p w:rsidR="00F67AF4" w:rsidRDefault="00F67AF4" w:rsidP="00F67AF4">
      <w:pPr>
        <w:rPr>
          <w:rFonts w:eastAsia="Calibri" w:cs="Arial"/>
          <w:szCs w:val="24"/>
        </w:rPr>
      </w:pPr>
      <w:r>
        <w:rPr>
          <w:rFonts w:eastAsia="Calibri" w:cs="Arial"/>
          <w:szCs w:val="24"/>
        </w:rPr>
        <w:t xml:space="preserve">The programme has a blended approach to learning and uses a range of learning interventions to improve the capability among executives, namely: </w:t>
      </w:r>
    </w:p>
    <w:p w:rsidR="00F67AF4" w:rsidRDefault="00F67AF4" w:rsidP="00F67AF4">
      <w:pPr>
        <w:rPr>
          <w:rFonts w:eastAsia="Calibri" w:cs="Arial"/>
          <w:szCs w:val="24"/>
        </w:rPr>
      </w:pPr>
    </w:p>
    <w:p w:rsidR="00F67AF4" w:rsidRDefault="00F67AF4" w:rsidP="00F67AF4">
      <w:pPr>
        <w:numPr>
          <w:ilvl w:val="0"/>
          <w:numId w:val="15"/>
        </w:numPr>
        <w:rPr>
          <w:rFonts w:eastAsia="Calibri" w:cs="Arial"/>
          <w:szCs w:val="24"/>
        </w:rPr>
      </w:pPr>
      <w:r>
        <w:rPr>
          <w:rFonts w:eastAsia="Calibri" w:cs="Arial"/>
          <w:b/>
          <w:bCs/>
          <w:szCs w:val="24"/>
        </w:rPr>
        <w:t>Facilitated workshops</w:t>
      </w:r>
      <w:r>
        <w:rPr>
          <w:rFonts w:eastAsia="Calibri" w:cs="Arial"/>
          <w:szCs w:val="24"/>
        </w:rPr>
        <w:t>: Workshops are developed for each CCG and are facilitated by subject matter experts. Workshops bring new content and ideas from an international evidence base which is translated to the local context and tailored to provide insight for each system and executive team.</w:t>
      </w:r>
    </w:p>
    <w:p w:rsidR="00F67AF4" w:rsidRDefault="00F67AF4" w:rsidP="00F67AF4">
      <w:pPr>
        <w:ind w:left="720"/>
        <w:rPr>
          <w:rFonts w:eastAsia="Calibri" w:cs="Arial"/>
          <w:szCs w:val="24"/>
        </w:rPr>
      </w:pPr>
    </w:p>
    <w:p w:rsidR="00F67AF4" w:rsidRDefault="00F67AF4" w:rsidP="00F67AF4">
      <w:pPr>
        <w:numPr>
          <w:ilvl w:val="0"/>
          <w:numId w:val="15"/>
        </w:numPr>
        <w:rPr>
          <w:rFonts w:eastAsia="Calibri" w:cs="Arial"/>
          <w:szCs w:val="24"/>
        </w:rPr>
      </w:pPr>
      <w:r>
        <w:rPr>
          <w:rFonts w:eastAsia="Calibri" w:cs="Arial"/>
          <w:b/>
          <w:bCs/>
          <w:szCs w:val="24"/>
        </w:rPr>
        <w:t>Coaching</w:t>
      </w:r>
      <w:r>
        <w:rPr>
          <w:rFonts w:eastAsia="Calibri" w:cs="Arial"/>
          <w:szCs w:val="24"/>
        </w:rPr>
        <w:t xml:space="preserve">: The </w:t>
      </w:r>
      <w:proofErr w:type="spellStart"/>
      <w:r>
        <w:rPr>
          <w:rFonts w:eastAsia="Calibri" w:cs="Arial"/>
          <w:szCs w:val="24"/>
        </w:rPr>
        <w:t>Optum</w:t>
      </w:r>
      <w:proofErr w:type="spellEnd"/>
      <w:r>
        <w:rPr>
          <w:rFonts w:eastAsia="Calibri" w:cs="Arial"/>
          <w:szCs w:val="24"/>
        </w:rPr>
        <w:t xml:space="preserve"> Alliance has fielded its most senior partners, directors and doctors to act as programme coaches. All coaches are experienced leaders in complex business systems. </w:t>
      </w:r>
      <w:proofErr w:type="gramStart"/>
      <w:r>
        <w:rPr>
          <w:rFonts w:eastAsia="Calibri" w:cs="Arial"/>
          <w:szCs w:val="24"/>
        </w:rPr>
        <w:t>Coaches</w:t>
      </w:r>
      <w:proofErr w:type="gramEnd"/>
      <w:r>
        <w:rPr>
          <w:rFonts w:eastAsia="Calibri" w:cs="Arial"/>
          <w:szCs w:val="24"/>
        </w:rPr>
        <w:t xml:space="preserve"> help participants work through complex problems and build their own capability. In addition to collective objectives, participants will set individual objectives with their coaches and agree to a personal development plan (PDP).</w:t>
      </w:r>
    </w:p>
    <w:p w:rsidR="00F67AF4" w:rsidRDefault="00F67AF4" w:rsidP="00F67AF4">
      <w:pPr>
        <w:rPr>
          <w:rFonts w:eastAsia="Calibri" w:cs="Arial"/>
          <w:szCs w:val="24"/>
        </w:rPr>
      </w:pPr>
    </w:p>
    <w:p w:rsidR="00F67AF4" w:rsidRDefault="00F67AF4" w:rsidP="00F67AF4">
      <w:pPr>
        <w:numPr>
          <w:ilvl w:val="0"/>
          <w:numId w:val="15"/>
        </w:numPr>
        <w:rPr>
          <w:rFonts w:eastAsia="Calibri" w:cs="Arial"/>
          <w:szCs w:val="24"/>
        </w:rPr>
      </w:pPr>
      <w:r>
        <w:rPr>
          <w:rFonts w:eastAsia="Calibri" w:cs="Arial"/>
          <w:b/>
          <w:bCs/>
          <w:szCs w:val="24"/>
        </w:rPr>
        <w:t>Materials for self-led learning</w:t>
      </w:r>
      <w:r>
        <w:rPr>
          <w:rFonts w:eastAsia="Calibri" w:cs="Arial"/>
          <w:szCs w:val="24"/>
        </w:rPr>
        <w:t xml:space="preserve">: Through extensive design work the </w:t>
      </w:r>
      <w:proofErr w:type="spellStart"/>
      <w:r>
        <w:rPr>
          <w:rFonts w:eastAsia="Calibri" w:cs="Arial"/>
          <w:szCs w:val="24"/>
        </w:rPr>
        <w:t>Optum</w:t>
      </w:r>
      <w:proofErr w:type="spellEnd"/>
      <w:r>
        <w:rPr>
          <w:rFonts w:eastAsia="Calibri" w:cs="Arial"/>
          <w:szCs w:val="24"/>
        </w:rPr>
        <w:t xml:space="preserve"> Alliance has identified learning materials. Bespoke learning materials are selected for each CCG on a weekly basis. Content is live and responsive to the needs of the CCGs. </w:t>
      </w:r>
    </w:p>
    <w:p w:rsidR="00F67AF4" w:rsidRDefault="00F67AF4" w:rsidP="00F67AF4">
      <w:pPr>
        <w:rPr>
          <w:rFonts w:eastAsia="Calibri" w:cs="Arial"/>
          <w:szCs w:val="24"/>
        </w:rPr>
      </w:pPr>
    </w:p>
    <w:p w:rsidR="00F67AF4" w:rsidRDefault="00F67AF4" w:rsidP="00F67AF4">
      <w:pPr>
        <w:rPr>
          <w:rFonts w:eastAsia="Calibri" w:cs="Arial"/>
          <w:szCs w:val="24"/>
        </w:rPr>
      </w:pPr>
      <w:r>
        <w:rPr>
          <w:rFonts w:eastAsia="Calibri" w:cs="Arial"/>
          <w:b/>
          <w:bCs/>
          <w:szCs w:val="24"/>
        </w:rPr>
        <w:t>Programme participants and coaches</w:t>
      </w:r>
    </w:p>
    <w:p w:rsidR="00F67AF4" w:rsidRDefault="00F67AF4" w:rsidP="00F67AF4">
      <w:pPr>
        <w:rPr>
          <w:rFonts w:eastAsia="Calibri" w:cs="Arial"/>
          <w:szCs w:val="24"/>
        </w:rPr>
      </w:pPr>
      <w:r>
        <w:rPr>
          <w:rFonts w:eastAsia="Calibri" w:cs="Arial"/>
          <w:szCs w:val="24"/>
        </w:rPr>
        <w:t>Seven individuals have been identified below to take part in Module 1:</w:t>
      </w:r>
    </w:p>
    <w:p w:rsidR="00F67AF4" w:rsidRDefault="00F67AF4" w:rsidP="00F67AF4">
      <w:pPr>
        <w:rPr>
          <w:rFonts w:eastAsia="Calibri" w:cs="Arial"/>
          <w:szCs w:val="24"/>
        </w:rPr>
      </w:pPr>
    </w:p>
    <w:p w:rsidR="00F67AF4" w:rsidRDefault="00F67AF4" w:rsidP="00F67AF4">
      <w:pPr>
        <w:rPr>
          <w:rFonts w:eastAsia="Calibri" w:cs="Arial"/>
          <w:szCs w:val="24"/>
        </w:rPr>
      </w:pPr>
      <w:r>
        <w:rPr>
          <w:rFonts w:eastAsia="Calibri" w:cs="Arial"/>
          <w:noProof/>
          <w:szCs w:val="24"/>
          <w:lang w:eastAsia="en-GB"/>
        </w:rPr>
        <w:drawing>
          <wp:inline distT="0" distB="0" distL="0" distR="0" wp14:anchorId="2C439F37" wp14:editId="393FCB29">
            <wp:extent cx="5715000" cy="3467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3467100"/>
                    </a:xfrm>
                    <a:prstGeom prst="rect">
                      <a:avLst/>
                    </a:prstGeom>
                    <a:noFill/>
                    <a:ln>
                      <a:noFill/>
                    </a:ln>
                  </pic:spPr>
                </pic:pic>
              </a:graphicData>
            </a:graphic>
          </wp:inline>
        </w:drawing>
      </w:r>
    </w:p>
    <w:p w:rsidR="00F67AF4" w:rsidRDefault="00F67AF4" w:rsidP="00F67AF4">
      <w:pPr>
        <w:rPr>
          <w:rFonts w:eastAsia="Calibri" w:cs="Arial"/>
          <w:szCs w:val="24"/>
        </w:rPr>
      </w:pPr>
    </w:p>
    <w:p w:rsidR="00F67AF4" w:rsidRDefault="00F67AF4" w:rsidP="00F67AF4">
      <w:pPr>
        <w:rPr>
          <w:rFonts w:eastAsia="Calibri" w:cs="Arial"/>
          <w:b/>
          <w:szCs w:val="24"/>
          <w:u w:val="single"/>
        </w:rPr>
      </w:pPr>
      <w:r>
        <w:rPr>
          <w:rFonts w:eastAsia="Calibri" w:cs="Arial"/>
          <w:b/>
          <w:szCs w:val="24"/>
          <w:u w:val="single"/>
        </w:rPr>
        <w:t>Areas of focus identified within the programme:</w:t>
      </w:r>
    </w:p>
    <w:p w:rsidR="00F67AF4" w:rsidRDefault="00F67AF4" w:rsidP="00F67AF4">
      <w:pPr>
        <w:rPr>
          <w:rFonts w:eastAsia="Calibri" w:cs="Arial"/>
          <w:szCs w:val="24"/>
        </w:rPr>
      </w:pPr>
      <w:r>
        <w:rPr>
          <w:rFonts w:eastAsia="Calibri" w:cs="Arial"/>
          <w:szCs w:val="24"/>
        </w:rPr>
        <w:t>As a result of the initial scoping phase, which included meetings with participants identified at this point and a full review of relevant documents, the delivery team have tailored the CCP to the needs of the Harrow CCP.</w:t>
      </w:r>
    </w:p>
    <w:p w:rsidR="00F67AF4" w:rsidRDefault="00F67AF4" w:rsidP="00F67AF4">
      <w:pPr>
        <w:rPr>
          <w:rFonts w:eastAsia="Calibri" w:cs="Arial"/>
          <w:szCs w:val="24"/>
        </w:rPr>
      </w:pPr>
    </w:p>
    <w:p w:rsidR="00F67AF4" w:rsidRDefault="00F67AF4" w:rsidP="00F67AF4">
      <w:pPr>
        <w:spacing w:line="276" w:lineRule="auto"/>
        <w:rPr>
          <w:rFonts w:ascii="Calibri" w:eastAsia="Calibri" w:hAnsi="Calibri"/>
          <w:sz w:val="22"/>
          <w:szCs w:val="22"/>
          <w:lang w:eastAsia="en-GB"/>
        </w:rPr>
      </w:pPr>
      <w:r>
        <w:rPr>
          <w:rFonts w:ascii="Calibri" w:eastAsia="Calibri" w:hAnsi="Calibri"/>
          <w:noProof/>
          <w:sz w:val="22"/>
          <w:szCs w:val="22"/>
          <w:lang w:eastAsia="en-GB"/>
        </w:rPr>
        <w:drawing>
          <wp:inline distT="0" distB="0" distL="0" distR="0" wp14:anchorId="5F61B6FD" wp14:editId="42B5F29C">
            <wp:extent cx="5972175" cy="3657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2175" cy="3657600"/>
                    </a:xfrm>
                    <a:prstGeom prst="rect">
                      <a:avLst/>
                    </a:prstGeom>
                    <a:noFill/>
                    <a:ln>
                      <a:noFill/>
                    </a:ln>
                  </pic:spPr>
                </pic:pic>
              </a:graphicData>
            </a:graphic>
          </wp:inline>
        </w:drawing>
      </w:r>
    </w:p>
    <w:p w:rsidR="00F67AF4" w:rsidRDefault="00F67AF4" w:rsidP="00F67AF4">
      <w:pPr>
        <w:spacing w:line="276" w:lineRule="auto"/>
        <w:rPr>
          <w:rFonts w:ascii="Calibri" w:eastAsia="Calibri" w:hAnsi="Calibri"/>
          <w:sz w:val="22"/>
          <w:szCs w:val="22"/>
          <w:lang w:eastAsia="en-GB"/>
        </w:rPr>
      </w:pPr>
    </w:p>
    <w:p w:rsidR="00D90E39" w:rsidRDefault="00D90E39" w:rsidP="00F67AF4">
      <w:pPr>
        <w:spacing w:line="276" w:lineRule="auto"/>
        <w:rPr>
          <w:rFonts w:eastAsia="Calibri" w:cs="Arial"/>
          <w:b/>
          <w:bCs/>
          <w:szCs w:val="24"/>
          <w:lang w:eastAsia="en-GB"/>
        </w:rPr>
      </w:pPr>
    </w:p>
    <w:p w:rsidR="00F67AF4" w:rsidRDefault="00F67AF4" w:rsidP="00F67AF4">
      <w:pPr>
        <w:spacing w:line="276" w:lineRule="auto"/>
        <w:rPr>
          <w:rFonts w:eastAsia="Calibri" w:cs="Arial"/>
          <w:szCs w:val="24"/>
          <w:lang w:eastAsia="en-GB"/>
        </w:rPr>
      </w:pPr>
      <w:r>
        <w:rPr>
          <w:rFonts w:eastAsia="Calibri" w:cs="Arial"/>
          <w:b/>
          <w:bCs/>
          <w:szCs w:val="24"/>
          <w:lang w:eastAsia="en-GB"/>
        </w:rPr>
        <w:t>Why Harrow CCG has been invited to take part in the CCP</w:t>
      </w:r>
    </w:p>
    <w:p w:rsidR="00F67AF4" w:rsidRDefault="00F67AF4" w:rsidP="00F67AF4">
      <w:pPr>
        <w:spacing w:line="276" w:lineRule="auto"/>
        <w:rPr>
          <w:rFonts w:eastAsia="Calibri" w:cs="Arial"/>
          <w:szCs w:val="24"/>
          <w:lang w:eastAsia="en-GB"/>
        </w:rPr>
      </w:pPr>
      <w:r>
        <w:rPr>
          <w:rFonts w:eastAsia="Calibri" w:cs="Arial"/>
          <w:szCs w:val="24"/>
          <w:lang w:eastAsia="en-GB"/>
        </w:rPr>
        <w:t>The CCG has been invited to take part in the CCP because of the financial challenges it is currently facing. The programme will provide an excellent opportunity for key system stakeholders to come together and develop a strategy that is fit for the future. The programme will also support the organisation to execute their financial recovery plan and closely align itself with the external system partners. The Terms of Reference for the Programme are at Annexe A.</w:t>
      </w:r>
    </w:p>
    <w:p w:rsidR="00F67AF4" w:rsidRDefault="00F67AF4" w:rsidP="00F67AF4">
      <w:pPr>
        <w:spacing w:line="276" w:lineRule="auto"/>
        <w:rPr>
          <w:rFonts w:eastAsia="Calibri" w:cs="Arial"/>
          <w:szCs w:val="24"/>
          <w:lang w:eastAsia="en-GB"/>
        </w:rPr>
      </w:pPr>
    </w:p>
    <w:p w:rsidR="00F67AF4" w:rsidRDefault="00F67AF4" w:rsidP="00F67AF4">
      <w:pPr>
        <w:spacing w:line="276" w:lineRule="auto"/>
        <w:rPr>
          <w:rFonts w:eastAsia="Calibri" w:cs="Arial"/>
          <w:szCs w:val="24"/>
          <w:lang w:eastAsia="en-GB"/>
        </w:rPr>
      </w:pPr>
      <w:r>
        <w:rPr>
          <w:rFonts w:eastAsia="Calibri" w:cs="Arial"/>
          <w:b/>
          <w:bCs/>
          <w:szCs w:val="24"/>
          <w:lang w:eastAsia="en-GB"/>
        </w:rPr>
        <w:t xml:space="preserve">Evidencing success </w:t>
      </w:r>
    </w:p>
    <w:p w:rsidR="00F67AF4" w:rsidRDefault="00F67AF4" w:rsidP="00F67AF4">
      <w:pPr>
        <w:spacing w:line="276" w:lineRule="auto"/>
        <w:rPr>
          <w:rFonts w:eastAsia="Calibri" w:cs="Arial"/>
          <w:szCs w:val="24"/>
          <w:lang w:eastAsia="en-GB"/>
        </w:rPr>
      </w:pPr>
      <w:r>
        <w:rPr>
          <w:rFonts w:eastAsia="Calibri" w:cs="Arial"/>
          <w:szCs w:val="24"/>
          <w:lang w:eastAsia="en-GB"/>
        </w:rPr>
        <w:t>Two frameworks which are helpful to use in terms of measuring success in commissioning capability is the CCG Improvement and Assessment Framework (IAF), and the new planning guidance, ‘Refreshing NHS Plans for 2018/19’. Each of the CCG outcomes has been described in terms of inputs (the support that will be provided), outputs (the work that will be produced together through the programme), and how this will lead to a form of improvement. Where relevant, connections are also made to the planning guidance.</w:t>
      </w:r>
    </w:p>
    <w:p w:rsidR="00F67AF4" w:rsidRDefault="00F67AF4" w:rsidP="00F67AF4">
      <w:pPr>
        <w:spacing w:line="276" w:lineRule="auto"/>
        <w:rPr>
          <w:rFonts w:eastAsia="Calibri" w:cs="Arial"/>
          <w:b/>
          <w:bCs/>
          <w:szCs w:val="24"/>
          <w:lang w:eastAsia="en-GB"/>
        </w:rPr>
      </w:pPr>
    </w:p>
    <w:p w:rsidR="00F67AF4" w:rsidRDefault="00F67AF4" w:rsidP="00F67AF4">
      <w:pPr>
        <w:spacing w:line="276" w:lineRule="auto"/>
        <w:rPr>
          <w:rFonts w:eastAsia="Calibri" w:cs="Arial"/>
          <w:szCs w:val="24"/>
          <w:lang w:eastAsia="en-GB"/>
        </w:rPr>
      </w:pPr>
      <w:r>
        <w:rPr>
          <w:rFonts w:eastAsia="Calibri" w:cs="Arial"/>
          <w:b/>
          <w:bCs/>
          <w:szCs w:val="24"/>
          <w:lang w:eastAsia="en-GB"/>
        </w:rPr>
        <w:t xml:space="preserve">Expected wider benefits </w:t>
      </w:r>
    </w:p>
    <w:p w:rsidR="00F67AF4" w:rsidRDefault="00F67AF4" w:rsidP="00F67AF4">
      <w:pPr>
        <w:spacing w:line="276" w:lineRule="auto"/>
        <w:rPr>
          <w:rFonts w:eastAsia="Calibri" w:cs="Arial"/>
          <w:szCs w:val="24"/>
          <w:lang w:eastAsia="en-GB"/>
        </w:rPr>
      </w:pPr>
      <w:r>
        <w:rPr>
          <w:rFonts w:eastAsia="Calibri" w:cs="Arial"/>
          <w:szCs w:val="24"/>
          <w:lang w:eastAsia="en-GB"/>
        </w:rPr>
        <w:t xml:space="preserve">Achievement of these improvements in capability will help equip the leaders of the Harrow CCG to make rapid strides towards transforming health and care in this health economy. It will help accelerate the reform agenda set out in the STP and make this real for the local system. Commissioners working together will be able to make a long planned transition to an integrated care model including enhanced community based services which will provide improved care, closer to home and reduces costs. </w:t>
      </w:r>
    </w:p>
    <w:p w:rsidR="00F67AF4" w:rsidRDefault="00F67AF4" w:rsidP="00F67AF4">
      <w:pPr>
        <w:spacing w:line="276" w:lineRule="auto"/>
        <w:rPr>
          <w:rFonts w:eastAsia="Calibri" w:cs="Arial"/>
          <w:szCs w:val="24"/>
          <w:lang w:eastAsia="en-GB"/>
        </w:rPr>
      </w:pPr>
      <w:r>
        <w:rPr>
          <w:rFonts w:eastAsia="Calibri" w:cs="Arial"/>
          <w:szCs w:val="24"/>
          <w:lang w:eastAsia="en-GB"/>
        </w:rPr>
        <w:t> </w:t>
      </w:r>
    </w:p>
    <w:p w:rsidR="00F67AF4" w:rsidRDefault="00F67AF4" w:rsidP="00F67AF4">
      <w:pPr>
        <w:spacing w:line="276" w:lineRule="auto"/>
        <w:rPr>
          <w:rFonts w:eastAsia="Calibri" w:cs="Arial"/>
          <w:szCs w:val="24"/>
          <w:lang w:eastAsia="en-GB"/>
        </w:rPr>
      </w:pPr>
      <w:r>
        <w:rPr>
          <w:rFonts w:eastAsia="Calibri" w:cs="Arial"/>
          <w:b/>
          <w:bCs/>
          <w:szCs w:val="24"/>
          <w:lang w:eastAsia="en-GB"/>
        </w:rPr>
        <w:t xml:space="preserve">Sustaining and embedding improvement </w:t>
      </w:r>
    </w:p>
    <w:p w:rsidR="00F67AF4" w:rsidRDefault="00F67AF4" w:rsidP="00F67AF4">
      <w:pPr>
        <w:spacing w:line="276" w:lineRule="auto"/>
        <w:rPr>
          <w:rFonts w:eastAsia="Calibri" w:cs="Arial"/>
          <w:szCs w:val="24"/>
          <w:lang w:eastAsia="en-GB"/>
        </w:rPr>
      </w:pPr>
      <w:r>
        <w:rPr>
          <w:rFonts w:eastAsia="Calibri" w:cs="Arial"/>
          <w:szCs w:val="24"/>
          <w:lang w:eastAsia="en-GB"/>
        </w:rPr>
        <w:t xml:space="preserve">Participants will commit to regular self-assessments of the progress they are making to individual and organisational development goals: </w:t>
      </w:r>
    </w:p>
    <w:p w:rsidR="00F67AF4" w:rsidRDefault="00F67AF4" w:rsidP="00F67AF4">
      <w:pPr>
        <w:spacing w:line="276" w:lineRule="auto"/>
        <w:rPr>
          <w:rFonts w:eastAsia="Calibri" w:cs="Arial"/>
          <w:szCs w:val="24"/>
          <w:lang w:eastAsia="en-GB"/>
        </w:rPr>
      </w:pPr>
      <w:r>
        <w:rPr>
          <w:rFonts w:eastAsia="Calibri" w:cs="Arial"/>
          <w:szCs w:val="24"/>
          <w:lang w:eastAsia="en-GB"/>
        </w:rPr>
        <w:t> </w:t>
      </w:r>
    </w:p>
    <w:p w:rsidR="00F67AF4" w:rsidRDefault="00F67AF4" w:rsidP="00F67AF4">
      <w:pPr>
        <w:numPr>
          <w:ilvl w:val="0"/>
          <w:numId w:val="16"/>
        </w:numPr>
        <w:spacing w:line="276" w:lineRule="auto"/>
        <w:rPr>
          <w:rFonts w:eastAsia="Calibri" w:cs="Arial"/>
          <w:szCs w:val="24"/>
          <w:lang w:eastAsia="en-GB"/>
        </w:rPr>
      </w:pPr>
      <w:r>
        <w:rPr>
          <w:rFonts w:eastAsia="Calibri" w:cs="Arial"/>
          <w:szCs w:val="24"/>
          <w:lang w:eastAsia="en-GB"/>
        </w:rPr>
        <w:t xml:space="preserve">6 weeks – check in to make sure learning objectives are being met and CCP is on track to support achievement of above objectives </w:t>
      </w:r>
    </w:p>
    <w:p w:rsidR="00F67AF4" w:rsidRDefault="00F67AF4" w:rsidP="00F67AF4">
      <w:pPr>
        <w:numPr>
          <w:ilvl w:val="0"/>
          <w:numId w:val="16"/>
        </w:numPr>
        <w:spacing w:line="276" w:lineRule="auto"/>
        <w:rPr>
          <w:rFonts w:eastAsia="Calibri" w:cs="Arial"/>
          <w:szCs w:val="24"/>
          <w:lang w:eastAsia="en-GB"/>
        </w:rPr>
      </w:pPr>
      <w:r>
        <w:rPr>
          <w:rFonts w:eastAsia="Calibri" w:cs="Arial"/>
          <w:szCs w:val="24"/>
          <w:lang w:eastAsia="en-GB"/>
        </w:rPr>
        <w:t>12 weeks - on completion of the 12 week programme, participants will agree and commit to forward capability development plan for the next 6-12 month period</w:t>
      </w:r>
    </w:p>
    <w:p w:rsidR="00F67AF4" w:rsidRDefault="00F67AF4" w:rsidP="00F67AF4">
      <w:pPr>
        <w:numPr>
          <w:ilvl w:val="0"/>
          <w:numId w:val="16"/>
        </w:numPr>
        <w:spacing w:line="276" w:lineRule="auto"/>
        <w:rPr>
          <w:rFonts w:eastAsia="Calibri" w:cs="Arial"/>
          <w:szCs w:val="24"/>
          <w:lang w:eastAsia="en-GB"/>
        </w:rPr>
      </w:pPr>
      <w:r>
        <w:rPr>
          <w:rFonts w:eastAsia="Calibri" w:cs="Arial"/>
          <w:szCs w:val="24"/>
          <w:lang w:eastAsia="en-GB"/>
        </w:rPr>
        <w:t>3, 6 and 9 months – the CCP team will connect with participants quarterly to help review progress and maintain momentum.</w:t>
      </w:r>
    </w:p>
    <w:p w:rsidR="00F67AF4" w:rsidRDefault="00F67AF4" w:rsidP="00F67AF4">
      <w:pPr>
        <w:numPr>
          <w:ilvl w:val="0"/>
          <w:numId w:val="16"/>
        </w:numPr>
        <w:spacing w:line="276" w:lineRule="auto"/>
        <w:rPr>
          <w:rFonts w:eastAsia="Calibri" w:cs="Arial"/>
          <w:szCs w:val="24"/>
          <w:lang w:eastAsia="en-GB"/>
        </w:rPr>
      </w:pPr>
    </w:p>
    <w:p w:rsidR="00F67AF4" w:rsidRDefault="00F67AF4" w:rsidP="00F67AF4">
      <w:pPr>
        <w:spacing w:line="276" w:lineRule="auto"/>
        <w:rPr>
          <w:rFonts w:eastAsia="Calibri" w:cs="Arial"/>
          <w:b/>
          <w:szCs w:val="24"/>
          <w:lang w:eastAsia="en-GB"/>
        </w:rPr>
      </w:pPr>
      <w:r>
        <w:rPr>
          <w:rFonts w:eastAsia="Calibri" w:cs="Arial"/>
          <w:b/>
          <w:szCs w:val="24"/>
          <w:lang w:eastAsia="en-GB"/>
        </w:rPr>
        <w:t>Progress from the focus groups/workshops held to date:</w:t>
      </w:r>
    </w:p>
    <w:p w:rsidR="00F67AF4" w:rsidRDefault="00F67AF4" w:rsidP="00F67AF4">
      <w:pPr>
        <w:spacing w:line="276" w:lineRule="auto"/>
        <w:rPr>
          <w:rFonts w:eastAsia="Calibri" w:cs="Arial"/>
          <w:b/>
          <w:szCs w:val="24"/>
          <w:lang w:eastAsia="en-GB"/>
        </w:rPr>
      </w:pPr>
    </w:p>
    <w:p w:rsidR="00F67AF4" w:rsidRDefault="00F67AF4" w:rsidP="00F67AF4">
      <w:pPr>
        <w:numPr>
          <w:ilvl w:val="0"/>
          <w:numId w:val="17"/>
        </w:numPr>
        <w:spacing w:line="276" w:lineRule="auto"/>
        <w:rPr>
          <w:rFonts w:eastAsia="Calibri" w:cs="Arial"/>
          <w:b/>
          <w:szCs w:val="24"/>
          <w:lang w:eastAsia="en-GB"/>
        </w:rPr>
      </w:pPr>
      <w:r>
        <w:rPr>
          <w:rFonts w:eastAsia="Calibri" w:cs="Arial"/>
          <w:b/>
          <w:szCs w:val="24"/>
          <w:lang w:eastAsia="en-GB"/>
        </w:rPr>
        <w:t xml:space="preserve">Workshop 1 - </w:t>
      </w:r>
      <w:r>
        <w:rPr>
          <w:b/>
        </w:rPr>
        <w:t>High Performing Teams and Strategy (21</w:t>
      </w:r>
      <w:r>
        <w:rPr>
          <w:b/>
          <w:vertAlign w:val="superscript"/>
        </w:rPr>
        <w:t>st</w:t>
      </w:r>
      <w:r>
        <w:rPr>
          <w:b/>
        </w:rPr>
        <w:t xml:space="preserve"> March 2019)</w:t>
      </w:r>
    </w:p>
    <w:p w:rsidR="00F67AF4" w:rsidRDefault="00F67AF4" w:rsidP="00F67AF4">
      <w:pPr>
        <w:spacing w:line="276" w:lineRule="auto"/>
        <w:rPr>
          <w:rFonts w:eastAsia="Calibri" w:cs="Arial"/>
          <w:b/>
          <w:szCs w:val="24"/>
          <w:lang w:eastAsia="en-GB"/>
        </w:rPr>
      </w:pPr>
    </w:p>
    <w:p w:rsidR="00F67AF4" w:rsidRDefault="00F67AF4" w:rsidP="00F67AF4">
      <w:pPr>
        <w:spacing w:line="276" w:lineRule="auto"/>
        <w:rPr>
          <w:rFonts w:eastAsia="Calibri" w:cs="Arial"/>
          <w:b/>
          <w:szCs w:val="24"/>
          <w:lang w:eastAsia="en-GB"/>
        </w:rPr>
      </w:pPr>
      <w:r>
        <w:rPr>
          <w:rFonts w:eastAsia="Calibri" w:cs="Arial"/>
          <w:b/>
          <w:szCs w:val="24"/>
          <w:lang w:eastAsia="en-GB"/>
        </w:rPr>
        <w:t>Recommendations:</w:t>
      </w:r>
    </w:p>
    <w:p w:rsidR="00F67AF4" w:rsidRDefault="00F67AF4" w:rsidP="00F67AF4">
      <w:pPr>
        <w:numPr>
          <w:ilvl w:val="0"/>
          <w:numId w:val="18"/>
        </w:numPr>
        <w:spacing w:line="276" w:lineRule="auto"/>
        <w:rPr>
          <w:rFonts w:eastAsia="Calibri" w:cs="Arial"/>
          <w:szCs w:val="24"/>
          <w:lang w:eastAsia="en-GB"/>
        </w:rPr>
      </w:pPr>
      <w:r>
        <w:rPr>
          <w:rFonts w:eastAsia="Calibri" w:cs="Arial"/>
          <w:szCs w:val="24"/>
          <w:lang w:eastAsia="en-GB"/>
        </w:rPr>
        <w:t>Expand the population cohort for the ICP to over 65 years old.</w:t>
      </w:r>
    </w:p>
    <w:p w:rsidR="00F67AF4" w:rsidRDefault="00F67AF4" w:rsidP="00F67AF4">
      <w:pPr>
        <w:numPr>
          <w:ilvl w:val="0"/>
          <w:numId w:val="18"/>
        </w:numPr>
        <w:spacing w:line="276" w:lineRule="auto"/>
        <w:rPr>
          <w:rFonts w:eastAsia="Calibri" w:cs="Arial"/>
          <w:szCs w:val="24"/>
          <w:lang w:eastAsia="en-GB"/>
        </w:rPr>
      </w:pPr>
      <w:r>
        <w:rPr>
          <w:rFonts w:eastAsia="Calibri" w:cs="Arial"/>
          <w:szCs w:val="24"/>
          <w:lang w:eastAsia="en-GB"/>
        </w:rPr>
        <w:t xml:space="preserve">All organisations will collect and share activity and cost data for the over 65 years old cohort to support the system integration. This data would not be used adversely. </w:t>
      </w:r>
    </w:p>
    <w:p w:rsidR="00F67AF4" w:rsidRDefault="00F67AF4" w:rsidP="00F67AF4">
      <w:pPr>
        <w:numPr>
          <w:ilvl w:val="0"/>
          <w:numId w:val="18"/>
        </w:numPr>
        <w:spacing w:line="276" w:lineRule="auto"/>
        <w:rPr>
          <w:rFonts w:eastAsia="Calibri" w:cs="Arial"/>
          <w:szCs w:val="24"/>
          <w:lang w:eastAsia="en-GB"/>
        </w:rPr>
      </w:pPr>
      <w:r>
        <w:rPr>
          <w:rFonts w:eastAsia="Calibri" w:cs="Arial"/>
          <w:szCs w:val="24"/>
          <w:lang w:eastAsia="en-GB"/>
        </w:rPr>
        <w:t>Review revise and update timelines, milestones and the associated work plan across 3, 6 and 12 months recognising the required pace and scale of change.</w:t>
      </w:r>
    </w:p>
    <w:p w:rsidR="00F67AF4" w:rsidRDefault="00F67AF4" w:rsidP="00F67AF4">
      <w:pPr>
        <w:numPr>
          <w:ilvl w:val="0"/>
          <w:numId w:val="18"/>
        </w:numPr>
        <w:spacing w:line="276" w:lineRule="auto"/>
        <w:rPr>
          <w:rFonts w:eastAsia="Calibri" w:cs="Arial"/>
          <w:szCs w:val="24"/>
          <w:lang w:eastAsia="en-GB"/>
        </w:rPr>
      </w:pPr>
      <w:r>
        <w:rPr>
          <w:rFonts w:eastAsia="Calibri" w:cs="Arial"/>
          <w:szCs w:val="24"/>
          <w:lang w:eastAsia="en-GB"/>
        </w:rPr>
        <w:t xml:space="preserve">All partners / system to recognise that the ICP / ICS </w:t>
      </w:r>
      <w:proofErr w:type="gramStart"/>
      <w:r>
        <w:rPr>
          <w:rFonts w:eastAsia="Calibri" w:cs="Arial"/>
          <w:szCs w:val="24"/>
          <w:lang w:eastAsia="en-GB"/>
        </w:rPr>
        <w:t>is</w:t>
      </w:r>
      <w:proofErr w:type="gramEnd"/>
      <w:r>
        <w:rPr>
          <w:rFonts w:eastAsia="Calibri" w:cs="Arial"/>
          <w:szCs w:val="24"/>
          <w:lang w:eastAsia="en-GB"/>
        </w:rPr>
        <w:t xml:space="preserve"> the bedrock and fundamental principle for financial recovery.</w:t>
      </w:r>
    </w:p>
    <w:p w:rsidR="00F67AF4" w:rsidRDefault="00F67AF4" w:rsidP="00F67AF4">
      <w:pPr>
        <w:spacing w:line="276" w:lineRule="auto"/>
        <w:rPr>
          <w:rFonts w:eastAsia="Calibri" w:cs="Arial"/>
          <w:b/>
          <w:szCs w:val="24"/>
          <w:lang w:eastAsia="en-GB"/>
        </w:rPr>
      </w:pPr>
    </w:p>
    <w:p w:rsidR="00F67AF4" w:rsidRDefault="00F67AF4" w:rsidP="00F67AF4">
      <w:pPr>
        <w:numPr>
          <w:ilvl w:val="0"/>
          <w:numId w:val="19"/>
        </w:numPr>
        <w:spacing w:line="276" w:lineRule="auto"/>
        <w:rPr>
          <w:rFonts w:eastAsia="Calibri" w:cs="Arial"/>
          <w:b/>
          <w:szCs w:val="24"/>
          <w:lang w:eastAsia="en-GB"/>
        </w:rPr>
      </w:pPr>
      <w:r>
        <w:rPr>
          <w:rFonts w:eastAsia="Calibri" w:cs="Arial"/>
          <w:b/>
          <w:szCs w:val="24"/>
          <w:lang w:eastAsia="en-GB"/>
        </w:rPr>
        <w:t>Workshop 2 – Governance (25</w:t>
      </w:r>
      <w:r>
        <w:rPr>
          <w:rFonts w:eastAsia="Calibri" w:cs="Arial"/>
          <w:b/>
          <w:szCs w:val="24"/>
          <w:vertAlign w:val="superscript"/>
          <w:lang w:eastAsia="en-GB"/>
        </w:rPr>
        <w:t>th</w:t>
      </w:r>
      <w:r>
        <w:rPr>
          <w:rFonts w:eastAsia="Calibri" w:cs="Arial"/>
          <w:b/>
          <w:szCs w:val="24"/>
          <w:lang w:eastAsia="en-GB"/>
        </w:rPr>
        <w:t xml:space="preserve"> March 2019)</w:t>
      </w:r>
    </w:p>
    <w:p w:rsidR="00F67AF4" w:rsidRDefault="00F67AF4" w:rsidP="00F67AF4">
      <w:pPr>
        <w:spacing w:line="276" w:lineRule="auto"/>
        <w:ind w:left="720"/>
        <w:rPr>
          <w:rFonts w:eastAsia="Calibri" w:cs="Arial"/>
          <w:b/>
          <w:szCs w:val="24"/>
          <w:lang w:eastAsia="en-GB"/>
        </w:rPr>
      </w:pPr>
    </w:p>
    <w:p w:rsidR="00F67AF4" w:rsidRDefault="00F67AF4" w:rsidP="00F67AF4">
      <w:pPr>
        <w:spacing w:line="276" w:lineRule="auto"/>
        <w:rPr>
          <w:rFonts w:eastAsia="Calibri" w:cs="Arial"/>
          <w:szCs w:val="24"/>
          <w:lang w:eastAsia="en-GB"/>
        </w:rPr>
      </w:pPr>
      <w:r>
        <w:rPr>
          <w:rFonts w:eastAsia="Calibri" w:cs="Arial"/>
          <w:b/>
          <w:szCs w:val="24"/>
          <w:lang w:eastAsia="en-GB"/>
        </w:rPr>
        <w:t xml:space="preserve">Objective: </w:t>
      </w:r>
    </w:p>
    <w:p w:rsidR="00F67AF4" w:rsidRDefault="00F67AF4" w:rsidP="00F67AF4">
      <w:pPr>
        <w:numPr>
          <w:ilvl w:val="0"/>
          <w:numId w:val="20"/>
        </w:numPr>
        <w:spacing w:line="276" w:lineRule="auto"/>
        <w:rPr>
          <w:rFonts w:eastAsia="Calibri" w:cs="Arial"/>
          <w:szCs w:val="24"/>
          <w:lang w:eastAsia="en-GB"/>
        </w:rPr>
      </w:pPr>
      <w:r>
        <w:rPr>
          <w:rFonts w:eastAsia="Calibri" w:cs="Arial"/>
          <w:szCs w:val="24"/>
          <w:lang w:eastAsia="en-GB"/>
        </w:rPr>
        <w:t>We want to “make governance real” and for us to be able to manage tensions that can manifest when there are differences in what is best for the STP / place vs what is best for individual organisations.</w:t>
      </w:r>
    </w:p>
    <w:p w:rsidR="00F67AF4" w:rsidRDefault="00F67AF4" w:rsidP="00F67AF4">
      <w:pPr>
        <w:numPr>
          <w:ilvl w:val="0"/>
          <w:numId w:val="20"/>
        </w:numPr>
        <w:spacing w:line="276" w:lineRule="auto"/>
        <w:rPr>
          <w:rFonts w:eastAsia="Calibri" w:cs="Arial"/>
          <w:szCs w:val="24"/>
          <w:lang w:eastAsia="en-GB"/>
        </w:rPr>
      </w:pPr>
      <w:r>
        <w:rPr>
          <w:rFonts w:eastAsia="Calibri" w:cs="Arial"/>
          <w:szCs w:val="24"/>
          <w:lang w:eastAsia="en-GB"/>
        </w:rPr>
        <w:t>We want to have effective governance in place that allows devolved decision making (at pace) based on better relationships and enhanced trust.</w:t>
      </w:r>
    </w:p>
    <w:p w:rsidR="00F67AF4" w:rsidRDefault="00F67AF4" w:rsidP="00F67AF4">
      <w:pPr>
        <w:numPr>
          <w:ilvl w:val="0"/>
          <w:numId w:val="20"/>
        </w:numPr>
        <w:spacing w:line="276" w:lineRule="auto"/>
        <w:rPr>
          <w:rFonts w:eastAsia="Calibri" w:cs="Arial"/>
          <w:szCs w:val="24"/>
          <w:lang w:eastAsia="en-GB"/>
        </w:rPr>
      </w:pPr>
      <w:r>
        <w:rPr>
          <w:rFonts w:eastAsia="Calibri" w:cs="Arial"/>
          <w:szCs w:val="24"/>
          <w:lang w:eastAsia="en-GB"/>
        </w:rPr>
        <w:t>For us to better understand STP, place based and organisational governance processes, particularly sign-off and decision making processes.</w:t>
      </w:r>
    </w:p>
    <w:p w:rsidR="00F67AF4" w:rsidRDefault="00F67AF4" w:rsidP="00F67AF4">
      <w:pPr>
        <w:numPr>
          <w:ilvl w:val="0"/>
          <w:numId w:val="20"/>
        </w:numPr>
        <w:spacing w:line="276" w:lineRule="auto"/>
        <w:rPr>
          <w:rFonts w:eastAsia="Calibri" w:cs="Arial"/>
          <w:szCs w:val="24"/>
          <w:lang w:eastAsia="en-GB"/>
        </w:rPr>
      </w:pPr>
      <w:r>
        <w:rPr>
          <w:rFonts w:eastAsia="Calibri" w:cs="Arial"/>
          <w:szCs w:val="24"/>
          <w:lang w:eastAsia="en-GB"/>
        </w:rPr>
        <w:t>We want to be able to bring our organisations with us</w:t>
      </w:r>
    </w:p>
    <w:p w:rsidR="00F67AF4" w:rsidRDefault="00F67AF4" w:rsidP="00F67AF4">
      <w:pPr>
        <w:numPr>
          <w:ilvl w:val="0"/>
          <w:numId w:val="21"/>
        </w:numPr>
        <w:spacing w:line="276" w:lineRule="auto"/>
        <w:rPr>
          <w:rFonts w:eastAsia="Calibri" w:cs="Arial"/>
          <w:szCs w:val="24"/>
          <w:lang w:eastAsia="en-GB"/>
        </w:rPr>
      </w:pPr>
      <w:r>
        <w:rPr>
          <w:rFonts w:eastAsia="Calibri" w:cs="Arial"/>
          <w:szCs w:val="24"/>
          <w:lang w:eastAsia="en-GB"/>
        </w:rPr>
        <w:t>We want to understand how to make governance proactive and for it to serve the needs of the patient.</w:t>
      </w:r>
    </w:p>
    <w:p w:rsidR="00F67AF4" w:rsidRDefault="00F67AF4" w:rsidP="00F67AF4">
      <w:pPr>
        <w:spacing w:line="276" w:lineRule="auto"/>
        <w:rPr>
          <w:rFonts w:eastAsia="Calibri" w:cs="Arial"/>
          <w:szCs w:val="24"/>
          <w:lang w:eastAsia="en-GB"/>
        </w:rPr>
      </w:pPr>
    </w:p>
    <w:p w:rsidR="00F67AF4" w:rsidRDefault="00F67AF4" w:rsidP="00F67AF4">
      <w:pPr>
        <w:spacing w:line="276" w:lineRule="auto"/>
        <w:rPr>
          <w:rFonts w:eastAsia="Calibri" w:cs="Arial"/>
          <w:b/>
          <w:szCs w:val="24"/>
          <w:lang w:eastAsia="en-GB"/>
        </w:rPr>
      </w:pPr>
      <w:r>
        <w:rPr>
          <w:rFonts w:eastAsia="Calibri" w:cs="Arial"/>
          <w:b/>
          <w:szCs w:val="24"/>
          <w:lang w:eastAsia="en-GB"/>
        </w:rPr>
        <w:t>Outcomes:</w:t>
      </w:r>
    </w:p>
    <w:p w:rsidR="00F67AF4" w:rsidRDefault="00F67AF4" w:rsidP="00F67AF4">
      <w:pPr>
        <w:numPr>
          <w:ilvl w:val="0"/>
          <w:numId w:val="19"/>
        </w:numPr>
        <w:spacing w:line="276" w:lineRule="auto"/>
        <w:rPr>
          <w:rFonts w:eastAsia="Calibri" w:cs="Arial"/>
          <w:szCs w:val="24"/>
          <w:lang w:eastAsia="en-GB"/>
        </w:rPr>
      </w:pPr>
      <w:r>
        <w:rPr>
          <w:rFonts w:eastAsia="Calibri" w:cs="Arial"/>
          <w:szCs w:val="24"/>
          <w:lang w:eastAsia="en-GB"/>
        </w:rPr>
        <w:t>It was agreed that it is key for Harrow to have a “compelling core shared purpose” and “capability and capacity to deliver”</w:t>
      </w:r>
    </w:p>
    <w:p w:rsidR="00F67AF4" w:rsidRDefault="00F67AF4" w:rsidP="00F67AF4">
      <w:pPr>
        <w:numPr>
          <w:ilvl w:val="0"/>
          <w:numId w:val="19"/>
        </w:numPr>
        <w:spacing w:line="276" w:lineRule="auto"/>
        <w:rPr>
          <w:rFonts w:eastAsia="Calibri" w:cs="Arial"/>
          <w:szCs w:val="24"/>
          <w:lang w:eastAsia="en-GB"/>
        </w:rPr>
      </w:pPr>
      <w:r>
        <w:rPr>
          <w:rFonts w:eastAsia="Calibri" w:cs="Arial"/>
          <w:szCs w:val="24"/>
          <w:lang w:eastAsia="en-GB"/>
        </w:rPr>
        <w:t>It was agreed that there was a need for strong clinical, practitioner and professional leadership. Replicating the STP governance structure would give the opportunity for clinicians and care professionals to inform the strategy and operational plans</w:t>
      </w:r>
    </w:p>
    <w:p w:rsidR="00F67AF4" w:rsidRDefault="00F67AF4" w:rsidP="00F67AF4">
      <w:pPr>
        <w:rPr>
          <w:rFonts w:cs="Arial"/>
        </w:rPr>
      </w:pPr>
    </w:p>
    <w:p w:rsidR="00F67AF4" w:rsidRDefault="00F67AF4" w:rsidP="00F67AF4">
      <w:pPr>
        <w:rPr>
          <w:rFonts w:cs="Arial"/>
        </w:rPr>
      </w:pPr>
      <w:r>
        <w:rPr>
          <w:rFonts w:cs="Arial"/>
        </w:rPr>
        <w:t xml:space="preserve">To note, Workshop 3 – Finance </w:t>
      </w:r>
      <w:r w:rsidR="00D90E39">
        <w:rPr>
          <w:rFonts w:cs="Arial"/>
        </w:rPr>
        <w:t>was on</w:t>
      </w:r>
      <w:r>
        <w:rPr>
          <w:rFonts w:cs="Arial"/>
        </w:rPr>
        <w:t xml:space="preserve"> Monday 15</w:t>
      </w:r>
      <w:r>
        <w:rPr>
          <w:rFonts w:cs="Arial"/>
          <w:vertAlign w:val="superscript"/>
        </w:rPr>
        <w:t>th</w:t>
      </w:r>
      <w:r>
        <w:rPr>
          <w:rFonts w:cs="Arial"/>
        </w:rPr>
        <w:t xml:space="preserve"> April 2019. </w:t>
      </w:r>
    </w:p>
    <w:p w:rsidR="00F67AF4" w:rsidRDefault="00F67AF4" w:rsidP="00F67AF4">
      <w:pPr>
        <w:rPr>
          <w:rFonts w:cs="Arial"/>
        </w:rPr>
      </w:pPr>
    </w:p>
    <w:p w:rsidR="00895F28" w:rsidRPr="00103BA5" w:rsidRDefault="00895F28" w:rsidP="00895F28">
      <w:pPr>
        <w:rPr>
          <w:rFonts w:ascii="Arial Bold" w:hAnsi="Arial Bold"/>
          <w:b/>
          <w:sz w:val="28"/>
        </w:rPr>
      </w:pPr>
      <w:r>
        <w:rPr>
          <w:rFonts w:ascii="Arial Bold" w:hAnsi="Arial Bold"/>
          <w:b/>
          <w:sz w:val="28"/>
        </w:rPr>
        <w:t xml:space="preserve">Ward Councillors’ comments </w:t>
      </w:r>
    </w:p>
    <w:p w:rsidR="00D90E39" w:rsidRPr="00103BA5" w:rsidRDefault="00D90E39" w:rsidP="00895F28">
      <w:pPr>
        <w:rPr>
          <w:rFonts w:cs="Arial"/>
          <w:sz w:val="28"/>
        </w:rPr>
      </w:pPr>
    </w:p>
    <w:p w:rsidR="00B33815" w:rsidRPr="00103BA5" w:rsidRDefault="00B33815" w:rsidP="00895F28">
      <w:pPr>
        <w:rPr>
          <w:rFonts w:cs="Arial"/>
          <w:szCs w:val="24"/>
        </w:rPr>
      </w:pPr>
      <w:r w:rsidRPr="00103BA5">
        <w:rPr>
          <w:rFonts w:cs="Arial"/>
          <w:szCs w:val="24"/>
        </w:rPr>
        <w:t>This affects all Wards.</w:t>
      </w:r>
    </w:p>
    <w:p w:rsidR="00895F28" w:rsidRPr="00103BA5" w:rsidRDefault="00895F28" w:rsidP="00895F28"/>
    <w:p w:rsidR="00895F28" w:rsidRPr="00103BA5" w:rsidRDefault="00895F28" w:rsidP="00895F28">
      <w:pPr>
        <w:pStyle w:val="Heading2"/>
      </w:pPr>
      <w:r w:rsidRPr="00103BA5">
        <w:t xml:space="preserve">Financial Implications/Comments </w:t>
      </w:r>
    </w:p>
    <w:p w:rsidR="00EE4B4A" w:rsidRPr="00103BA5" w:rsidRDefault="00EE4B4A" w:rsidP="00EE4B4A"/>
    <w:p w:rsidR="00EE4B4A" w:rsidRPr="00EE4B4A" w:rsidRDefault="00EE4B4A" w:rsidP="00EE4B4A">
      <w:pPr>
        <w:rPr>
          <w:rFonts w:cs="Arial"/>
          <w:szCs w:val="24"/>
        </w:rPr>
      </w:pPr>
      <w:r w:rsidRPr="00EE4B4A">
        <w:rPr>
          <w:rFonts w:cs="Arial"/>
          <w:szCs w:val="24"/>
        </w:rPr>
        <w:t xml:space="preserve">At present there are no additional financial implications associated with the Programme.  The intention being that the improved working relationships as a result of this programme will facilitate the delivery of Integrated Care in Harrow and more effective provision. </w:t>
      </w:r>
    </w:p>
    <w:p w:rsidR="00EE4B4A" w:rsidRPr="00EE4B4A" w:rsidRDefault="00EE4B4A" w:rsidP="00EE4B4A"/>
    <w:p w:rsidR="00895F28" w:rsidRDefault="00895F28" w:rsidP="00895F28"/>
    <w:p w:rsidR="00895F28" w:rsidRDefault="00895F28" w:rsidP="00895F28">
      <w:pPr>
        <w:rPr>
          <w:b/>
          <w:sz w:val="28"/>
          <w:szCs w:val="28"/>
        </w:rPr>
      </w:pPr>
      <w:r>
        <w:rPr>
          <w:b/>
          <w:sz w:val="28"/>
          <w:szCs w:val="28"/>
        </w:rPr>
        <w:t xml:space="preserve">Legal Implications/Comments </w:t>
      </w:r>
    </w:p>
    <w:p w:rsidR="00E00F4F" w:rsidRDefault="00E00F4F" w:rsidP="00895F28">
      <w:pPr>
        <w:rPr>
          <w:b/>
          <w:sz w:val="28"/>
          <w:szCs w:val="28"/>
        </w:rPr>
      </w:pPr>
    </w:p>
    <w:p w:rsidR="00E00F4F" w:rsidRPr="00103BA5" w:rsidRDefault="00E00F4F" w:rsidP="00E00F4F">
      <w:pPr>
        <w:rPr>
          <w:szCs w:val="24"/>
        </w:rPr>
      </w:pPr>
      <w:r w:rsidRPr="00103BA5">
        <w:rPr>
          <w:szCs w:val="24"/>
        </w:rPr>
        <w:t xml:space="preserve">The purpose of the Health and Wellbeing board is defined under part 3A of </w:t>
      </w:r>
      <w:bookmarkStart w:id="0" w:name="_GoBack"/>
      <w:bookmarkEnd w:id="0"/>
      <w:r w:rsidRPr="00103BA5">
        <w:rPr>
          <w:szCs w:val="24"/>
        </w:rPr>
        <w:t>the Constitution to include the promotion of integration and partnership across areas, including through promoting joined up commissioning plans across NHS, soc</w:t>
      </w:r>
      <w:r w:rsidR="00716690">
        <w:rPr>
          <w:szCs w:val="24"/>
        </w:rPr>
        <w:t>ial care and public health, and</w:t>
      </w:r>
      <w:r w:rsidRPr="00103BA5">
        <w:rPr>
          <w:szCs w:val="24"/>
        </w:rPr>
        <w:t xml:space="preserve"> to support joint commissioning and pooled arrangements, where all parties agree this makes sense</w:t>
      </w:r>
    </w:p>
    <w:p w:rsidR="00E00F4F" w:rsidRPr="00103BA5" w:rsidRDefault="00E00F4F" w:rsidP="00895F28">
      <w:pPr>
        <w:rPr>
          <w:szCs w:val="24"/>
        </w:rPr>
      </w:pPr>
    </w:p>
    <w:p w:rsidR="00895F28" w:rsidRPr="00103BA5" w:rsidRDefault="00B33815" w:rsidP="00895F28">
      <w:pPr>
        <w:rPr>
          <w:szCs w:val="24"/>
        </w:rPr>
      </w:pPr>
      <w:r w:rsidRPr="00103BA5">
        <w:rPr>
          <w:szCs w:val="24"/>
        </w:rPr>
        <w:t>At present there are no legal implications. However, as the integration agenda processes there will need to be consideration of legal requirements of the local authority and health services.</w:t>
      </w:r>
    </w:p>
    <w:p w:rsidR="00895F28" w:rsidRPr="00103BA5" w:rsidRDefault="00895F28" w:rsidP="00895F28">
      <w:pPr>
        <w:rPr>
          <w:szCs w:val="24"/>
        </w:rPr>
      </w:pPr>
    </w:p>
    <w:p w:rsidR="00895F28" w:rsidRPr="00D90E39" w:rsidRDefault="00895F28" w:rsidP="00895F28">
      <w:pPr>
        <w:pStyle w:val="Heading2"/>
      </w:pPr>
      <w:r w:rsidRPr="00D90E39">
        <w:t>Risk Management Implications</w:t>
      </w:r>
      <w:r w:rsidR="00B33815" w:rsidRPr="00D90E39">
        <w:t xml:space="preserve"> </w:t>
      </w:r>
    </w:p>
    <w:p w:rsidR="00895F28" w:rsidRPr="00D90E39" w:rsidRDefault="00895F28" w:rsidP="00895F28">
      <w:pPr>
        <w:pStyle w:val="Heading1"/>
        <w:rPr>
          <w:b/>
          <w:sz w:val="24"/>
          <w:szCs w:val="24"/>
        </w:rPr>
      </w:pPr>
    </w:p>
    <w:p w:rsidR="00895F28" w:rsidRPr="00D90E39" w:rsidRDefault="00B33815" w:rsidP="00B33815">
      <w:pPr>
        <w:ind w:right="141"/>
        <w:rPr>
          <w:rFonts w:cs="Arial"/>
          <w:szCs w:val="24"/>
          <w:lang w:val="en-US" w:eastAsia="en-GB"/>
        </w:rPr>
      </w:pPr>
      <w:r w:rsidRPr="00D90E39">
        <w:rPr>
          <w:rFonts w:cs="Arial"/>
          <w:szCs w:val="24"/>
          <w:lang w:val="en-US" w:eastAsia="en-GB"/>
        </w:rPr>
        <w:t xml:space="preserve">There are currently no risk implications. </w:t>
      </w:r>
    </w:p>
    <w:p w:rsidR="00895F28" w:rsidRPr="00D90E39" w:rsidRDefault="00895F28" w:rsidP="00895F28">
      <w:pPr>
        <w:ind w:right="141"/>
        <w:rPr>
          <w:rFonts w:cs="Arial"/>
          <w:szCs w:val="24"/>
          <w:lang w:val="en-US" w:eastAsia="en-GB"/>
        </w:rPr>
      </w:pPr>
    </w:p>
    <w:p w:rsidR="00895F28" w:rsidRPr="00D90E39" w:rsidRDefault="00895F28" w:rsidP="00895F28">
      <w:pPr>
        <w:pStyle w:val="Heading2"/>
        <w:keepNext/>
      </w:pPr>
      <w:r w:rsidRPr="00D90E39">
        <w:t xml:space="preserve">Equalities implications / Public Sector Equality Duty </w:t>
      </w:r>
    </w:p>
    <w:p w:rsidR="00895F28" w:rsidRPr="00D90E39" w:rsidRDefault="00895F28" w:rsidP="00895F28">
      <w:pPr>
        <w:keepNext/>
      </w:pPr>
    </w:p>
    <w:p w:rsidR="00895F28" w:rsidRPr="00D90E39" w:rsidRDefault="00895F28" w:rsidP="00895F28">
      <w:r w:rsidRPr="00D90E39">
        <w:t xml:space="preserve">Was an Equality Impact Assessment carried out?  </w:t>
      </w:r>
      <w:r w:rsidR="00B33815" w:rsidRPr="00D90E39">
        <w:t>No</w:t>
      </w:r>
    </w:p>
    <w:p w:rsidR="00895F28" w:rsidRPr="00D90E39" w:rsidRDefault="00895F28" w:rsidP="00895F28"/>
    <w:p w:rsidR="00895F28" w:rsidRPr="00D90E39" w:rsidRDefault="00B33815" w:rsidP="00895F28">
      <w:proofErr w:type="spellStart"/>
      <w:r w:rsidRPr="00D90E39">
        <w:t>EqIAs</w:t>
      </w:r>
      <w:proofErr w:type="spellEnd"/>
      <w:r w:rsidRPr="00D90E39">
        <w:t xml:space="preserve"> will be undertaken when appropriate to support specific programmes and project.  </w:t>
      </w:r>
    </w:p>
    <w:p w:rsidR="00895F28" w:rsidRPr="00D90E39" w:rsidRDefault="00895F28" w:rsidP="00895F28">
      <w:pPr>
        <w:ind w:right="141"/>
        <w:rPr>
          <w:rFonts w:cs="Arial"/>
          <w:szCs w:val="24"/>
          <w:lang w:val="en-US"/>
        </w:rPr>
      </w:pPr>
    </w:p>
    <w:p w:rsidR="00895F28" w:rsidRPr="00D90E39" w:rsidRDefault="00B33815" w:rsidP="00895F28">
      <w:pPr>
        <w:pStyle w:val="Heading2"/>
      </w:pPr>
      <w:r w:rsidRPr="00D90E39">
        <w:t>Council Priorities</w:t>
      </w:r>
    </w:p>
    <w:p w:rsidR="00895F28" w:rsidRPr="00D90E39" w:rsidRDefault="00895F28" w:rsidP="00895F28">
      <w:pPr>
        <w:keepNext/>
        <w:ind w:right="144"/>
        <w:rPr>
          <w:rFonts w:cs="Arial"/>
          <w:szCs w:val="24"/>
          <w:lang w:val="en-US"/>
        </w:rPr>
      </w:pPr>
    </w:p>
    <w:p w:rsidR="00895F28" w:rsidRDefault="00B33815" w:rsidP="00895F28">
      <w:pPr>
        <w:keepNext/>
        <w:ind w:right="144"/>
        <w:rPr>
          <w:rFonts w:cs="Arial"/>
          <w:szCs w:val="24"/>
          <w:lang w:val="en-US"/>
        </w:rPr>
      </w:pPr>
      <w:r>
        <w:rPr>
          <w:rFonts w:cs="Arial"/>
          <w:szCs w:val="24"/>
          <w:lang w:val="en-US"/>
        </w:rPr>
        <w:t>The CCP contributes to the Council’</w:t>
      </w:r>
      <w:r w:rsidR="000B1E5E">
        <w:rPr>
          <w:rFonts w:cs="Arial"/>
          <w:szCs w:val="24"/>
          <w:lang w:val="en-US"/>
        </w:rPr>
        <w:t>s priorities of sup</w:t>
      </w:r>
      <w:r>
        <w:rPr>
          <w:rFonts w:cs="Arial"/>
          <w:szCs w:val="24"/>
          <w:lang w:val="en-US"/>
        </w:rPr>
        <w:t xml:space="preserve">porting those most in need and protecting vital public services. </w:t>
      </w:r>
    </w:p>
    <w:p w:rsidR="00895F28" w:rsidRDefault="00895F28" w:rsidP="00895F28">
      <w:pPr>
        <w:autoSpaceDE w:val="0"/>
        <w:autoSpaceDN w:val="0"/>
        <w:rPr>
          <w:b/>
          <w:bCs/>
        </w:rPr>
      </w:pPr>
    </w:p>
    <w:p w:rsidR="00F67AF4" w:rsidRDefault="00D90E39" w:rsidP="00F67AF4">
      <w:pPr>
        <w:rPr>
          <w:rFonts w:ascii="Arial Black" w:hAnsi="Arial Black" w:cs="Arial"/>
          <w:sz w:val="32"/>
          <w:szCs w:val="32"/>
        </w:rPr>
      </w:pPr>
      <w:r>
        <w:rPr>
          <w:rFonts w:ascii="Arial Black" w:hAnsi="Arial Black" w:cs="Arial"/>
          <w:sz w:val="32"/>
          <w:szCs w:val="32"/>
        </w:rPr>
        <w:t>Section 3 - Statutory Officer Clearance</w:t>
      </w:r>
    </w:p>
    <w:p w:rsidR="00F67AF4" w:rsidRDefault="00F67AF4" w:rsidP="00F67AF4">
      <w:pPr>
        <w:rPr>
          <w:rFonts w:ascii="Arial Black" w:hAnsi="Arial Black" w:cs="Arial"/>
          <w:sz w:val="32"/>
          <w:szCs w:val="32"/>
        </w:rPr>
      </w:pPr>
      <w:r>
        <w:rPr>
          <w:rFonts w:ascii="Arial Black" w:hAnsi="Arial Black" w:cs="Arial"/>
          <w:sz w:val="32"/>
          <w:szCs w:val="32"/>
        </w:rPr>
        <w:t>(Council and Joint Reports</w:t>
      </w:r>
    </w:p>
    <w:p w:rsidR="00F67AF4" w:rsidRDefault="00F67AF4" w:rsidP="00F67AF4">
      <w:pPr>
        <w:rPr>
          <w:rFonts w:ascii="Arial Black" w:hAnsi="Arial Black"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7"/>
        <w:gridCol w:w="419"/>
        <w:gridCol w:w="227"/>
        <w:gridCol w:w="3922"/>
      </w:tblGrid>
      <w:tr w:rsidR="00F67AF4" w:rsidTr="00F67AF4">
        <w:tc>
          <w:tcPr>
            <w:tcW w:w="2320" w:type="pct"/>
            <w:tcBorders>
              <w:top w:val="single" w:sz="4" w:space="0" w:color="auto"/>
              <w:left w:val="single" w:sz="4" w:space="0" w:color="auto"/>
              <w:bottom w:val="nil"/>
              <w:right w:val="nil"/>
            </w:tcBorders>
          </w:tcPr>
          <w:p w:rsidR="00F67AF4" w:rsidRDefault="00F67AF4" w:rsidP="00D90E39">
            <w:pPr>
              <w:pStyle w:val="Infotext"/>
            </w:pPr>
          </w:p>
        </w:tc>
        <w:tc>
          <w:tcPr>
            <w:tcW w:w="246" w:type="pct"/>
            <w:tcBorders>
              <w:top w:val="single" w:sz="4" w:space="0" w:color="auto"/>
              <w:left w:val="nil"/>
              <w:bottom w:val="single" w:sz="4" w:space="0" w:color="auto"/>
              <w:right w:val="nil"/>
            </w:tcBorders>
          </w:tcPr>
          <w:p w:rsidR="00F67AF4" w:rsidRDefault="00F67AF4">
            <w:pPr>
              <w:pStyle w:val="Infotext"/>
            </w:pPr>
          </w:p>
        </w:tc>
        <w:tc>
          <w:tcPr>
            <w:tcW w:w="133" w:type="pct"/>
            <w:tcBorders>
              <w:top w:val="single" w:sz="4" w:space="0" w:color="auto"/>
              <w:left w:val="nil"/>
              <w:bottom w:val="nil"/>
              <w:right w:val="nil"/>
            </w:tcBorders>
          </w:tcPr>
          <w:p w:rsidR="00F67AF4" w:rsidRDefault="00F67AF4">
            <w:pPr>
              <w:pStyle w:val="Infotext"/>
            </w:pPr>
          </w:p>
        </w:tc>
        <w:tc>
          <w:tcPr>
            <w:tcW w:w="2300" w:type="pct"/>
            <w:tcBorders>
              <w:top w:val="single" w:sz="4" w:space="0" w:color="auto"/>
              <w:left w:val="nil"/>
              <w:bottom w:val="nil"/>
              <w:right w:val="single" w:sz="4" w:space="0" w:color="auto"/>
            </w:tcBorders>
          </w:tcPr>
          <w:p w:rsidR="00F67AF4" w:rsidRDefault="00F67AF4">
            <w:pPr>
              <w:pStyle w:val="Infotext"/>
            </w:pPr>
          </w:p>
          <w:p w:rsidR="00F67AF4" w:rsidRDefault="00F67AF4">
            <w:pPr>
              <w:pStyle w:val="Infotext"/>
            </w:pPr>
            <w:r>
              <w:t>on behalf of the</w:t>
            </w:r>
          </w:p>
        </w:tc>
      </w:tr>
      <w:tr w:rsidR="00F67AF4" w:rsidTr="00F67AF4">
        <w:tc>
          <w:tcPr>
            <w:tcW w:w="2320" w:type="pct"/>
            <w:tcBorders>
              <w:top w:val="nil"/>
              <w:left w:val="single" w:sz="4" w:space="0" w:color="auto"/>
              <w:bottom w:val="nil"/>
              <w:right w:val="single" w:sz="4" w:space="0" w:color="auto"/>
            </w:tcBorders>
            <w:hideMark/>
          </w:tcPr>
          <w:p w:rsidR="00F67AF4" w:rsidRDefault="00F67AF4" w:rsidP="00556BFB">
            <w:pPr>
              <w:pStyle w:val="Infotext"/>
            </w:pPr>
            <w:r>
              <w:t>Name:</w:t>
            </w:r>
            <w:r w:rsidR="00D90E39">
              <w:t xml:space="preserve"> </w:t>
            </w:r>
            <w:r w:rsidR="00556BFB">
              <w:t>Sharon Daniels</w:t>
            </w:r>
          </w:p>
        </w:tc>
        <w:tc>
          <w:tcPr>
            <w:tcW w:w="246" w:type="pct"/>
            <w:tcBorders>
              <w:top w:val="single" w:sz="4" w:space="0" w:color="auto"/>
              <w:left w:val="single" w:sz="4" w:space="0" w:color="auto"/>
              <w:bottom w:val="single" w:sz="4" w:space="0" w:color="auto"/>
              <w:right w:val="single" w:sz="4" w:space="0" w:color="auto"/>
            </w:tcBorders>
          </w:tcPr>
          <w:p w:rsidR="00F67AF4" w:rsidRDefault="00556BFB">
            <w:pPr>
              <w:pStyle w:val="Infotext"/>
            </w:pPr>
            <w:r>
              <w:t>X</w:t>
            </w:r>
          </w:p>
        </w:tc>
        <w:tc>
          <w:tcPr>
            <w:tcW w:w="133" w:type="pct"/>
            <w:tcBorders>
              <w:top w:val="nil"/>
              <w:left w:val="single" w:sz="4" w:space="0" w:color="auto"/>
              <w:bottom w:val="nil"/>
              <w:right w:val="nil"/>
            </w:tcBorders>
          </w:tcPr>
          <w:p w:rsidR="00F67AF4" w:rsidRDefault="00F67AF4">
            <w:pPr>
              <w:pStyle w:val="Infotext"/>
            </w:pPr>
          </w:p>
        </w:tc>
        <w:tc>
          <w:tcPr>
            <w:tcW w:w="2300" w:type="pct"/>
            <w:tcBorders>
              <w:top w:val="nil"/>
              <w:left w:val="nil"/>
              <w:bottom w:val="nil"/>
              <w:right w:val="single" w:sz="4" w:space="0" w:color="auto"/>
            </w:tcBorders>
            <w:hideMark/>
          </w:tcPr>
          <w:p w:rsidR="00F67AF4" w:rsidRDefault="00F67AF4">
            <w:pPr>
              <w:pStyle w:val="Infotext"/>
            </w:pPr>
            <w:r>
              <w:t>Chief Financial Officer</w:t>
            </w:r>
          </w:p>
        </w:tc>
      </w:tr>
      <w:tr w:rsidR="00F67AF4" w:rsidTr="00F67AF4">
        <w:tc>
          <w:tcPr>
            <w:tcW w:w="2320" w:type="pct"/>
            <w:tcBorders>
              <w:top w:val="nil"/>
              <w:left w:val="single" w:sz="4" w:space="0" w:color="auto"/>
              <w:bottom w:val="single" w:sz="4" w:space="0" w:color="auto"/>
              <w:right w:val="nil"/>
            </w:tcBorders>
            <w:hideMark/>
          </w:tcPr>
          <w:p w:rsidR="00F67AF4" w:rsidRDefault="00F67AF4">
            <w:pPr>
              <w:pStyle w:val="Infotext"/>
            </w:pPr>
          </w:p>
          <w:p w:rsidR="00F67AF4" w:rsidRDefault="00F67AF4" w:rsidP="00A40313">
            <w:pPr>
              <w:pStyle w:val="Infotext"/>
            </w:pPr>
            <w:r>
              <w:t xml:space="preserve">Date: </w:t>
            </w:r>
            <w:r w:rsidR="00556BFB">
              <w:t>24 April 2019</w:t>
            </w:r>
          </w:p>
        </w:tc>
        <w:tc>
          <w:tcPr>
            <w:tcW w:w="246" w:type="pct"/>
            <w:tcBorders>
              <w:top w:val="single" w:sz="4" w:space="0" w:color="auto"/>
              <w:left w:val="nil"/>
              <w:bottom w:val="single" w:sz="4" w:space="0" w:color="auto"/>
              <w:right w:val="nil"/>
            </w:tcBorders>
          </w:tcPr>
          <w:p w:rsidR="00F67AF4" w:rsidRDefault="00F67AF4">
            <w:pPr>
              <w:pStyle w:val="Infotext"/>
            </w:pPr>
          </w:p>
        </w:tc>
        <w:tc>
          <w:tcPr>
            <w:tcW w:w="133" w:type="pct"/>
            <w:tcBorders>
              <w:top w:val="nil"/>
              <w:left w:val="nil"/>
              <w:bottom w:val="single" w:sz="4" w:space="0" w:color="auto"/>
              <w:right w:val="nil"/>
            </w:tcBorders>
          </w:tcPr>
          <w:p w:rsidR="00F67AF4" w:rsidRDefault="00F67AF4">
            <w:pPr>
              <w:pStyle w:val="Infotext"/>
            </w:pPr>
          </w:p>
        </w:tc>
        <w:tc>
          <w:tcPr>
            <w:tcW w:w="2300" w:type="pct"/>
            <w:tcBorders>
              <w:top w:val="nil"/>
              <w:left w:val="nil"/>
              <w:bottom w:val="single" w:sz="4" w:space="0" w:color="auto"/>
              <w:right w:val="single" w:sz="4" w:space="0" w:color="auto"/>
            </w:tcBorders>
          </w:tcPr>
          <w:p w:rsidR="00F67AF4" w:rsidRDefault="00F67AF4">
            <w:pPr>
              <w:pStyle w:val="Infotext"/>
            </w:pPr>
          </w:p>
        </w:tc>
      </w:tr>
    </w:tbl>
    <w:p w:rsidR="00F67AF4" w:rsidRDefault="00F67AF4" w:rsidP="00F67AF4">
      <w:pPr>
        <w:rPr>
          <w:szCs w:val="24"/>
        </w:rPr>
      </w:pPr>
    </w:p>
    <w:p w:rsidR="006E04B6" w:rsidRDefault="006E04B6" w:rsidP="00F67AF4">
      <w:pPr>
        <w:rPr>
          <w:szCs w:val="24"/>
        </w:rPr>
      </w:pPr>
    </w:p>
    <w:p w:rsidR="006E04B6" w:rsidRDefault="006E04B6" w:rsidP="006E04B6">
      <w:pPr>
        <w:rPr>
          <w:szCs w:val="24"/>
        </w:rPr>
      </w:pPr>
    </w:p>
    <w:p w:rsidR="006E04B6" w:rsidRDefault="006E04B6" w:rsidP="006E04B6">
      <w:pPr>
        <w:rPr>
          <w:szCs w:val="24"/>
        </w:rPr>
      </w:pPr>
    </w:p>
    <w:p w:rsidR="006E04B6" w:rsidRDefault="006E04B6" w:rsidP="006E04B6">
      <w:pPr>
        <w:rPr>
          <w:szCs w:val="24"/>
        </w:rPr>
      </w:pPr>
    </w:p>
    <w:p w:rsidR="006E04B6" w:rsidRDefault="006E04B6" w:rsidP="006E04B6">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6"/>
        <w:gridCol w:w="403"/>
        <w:gridCol w:w="234"/>
        <w:gridCol w:w="3592"/>
      </w:tblGrid>
      <w:tr w:rsidR="00D040BA" w:rsidTr="006E04B6">
        <w:tc>
          <w:tcPr>
            <w:tcW w:w="4752" w:type="dxa"/>
            <w:tcBorders>
              <w:top w:val="single" w:sz="4" w:space="0" w:color="auto"/>
              <w:left w:val="single" w:sz="4" w:space="0" w:color="auto"/>
              <w:bottom w:val="nil"/>
              <w:right w:val="nil"/>
            </w:tcBorders>
            <w:shd w:val="clear" w:color="auto" w:fill="auto"/>
          </w:tcPr>
          <w:p w:rsidR="006E04B6" w:rsidRPr="00314CDA" w:rsidRDefault="006E04B6" w:rsidP="008E6EC7">
            <w:pPr>
              <w:pStyle w:val="Infotext"/>
              <w:rPr>
                <w:color w:val="FF0000"/>
              </w:rPr>
            </w:pPr>
          </w:p>
          <w:p w:rsidR="006E04B6" w:rsidRDefault="006E04B6" w:rsidP="008E6EC7">
            <w:pPr>
              <w:pStyle w:val="Infotext"/>
            </w:pPr>
          </w:p>
        </w:tc>
        <w:tc>
          <w:tcPr>
            <w:tcW w:w="387" w:type="dxa"/>
            <w:tcBorders>
              <w:top w:val="single" w:sz="4" w:space="0" w:color="auto"/>
              <w:left w:val="nil"/>
              <w:bottom w:val="single" w:sz="4" w:space="0" w:color="auto"/>
              <w:right w:val="nil"/>
            </w:tcBorders>
            <w:shd w:val="clear" w:color="auto" w:fill="auto"/>
          </w:tcPr>
          <w:p w:rsidR="006E04B6" w:rsidRDefault="006E04B6" w:rsidP="008E6EC7">
            <w:pPr>
              <w:pStyle w:val="Infotext"/>
            </w:pPr>
          </w:p>
        </w:tc>
        <w:tc>
          <w:tcPr>
            <w:tcW w:w="236" w:type="dxa"/>
            <w:tcBorders>
              <w:top w:val="single" w:sz="4" w:space="0" w:color="auto"/>
              <w:left w:val="nil"/>
              <w:bottom w:val="nil"/>
              <w:right w:val="nil"/>
            </w:tcBorders>
            <w:shd w:val="clear" w:color="auto" w:fill="auto"/>
          </w:tcPr>
          <w:p w:rsidR="006E04B6" w:rsidRDefault="006E04B6" w:rsidP="008E6EC7">
            <w:pPr>
              <w:pStyle w:val="Infotext"/>
            </w:pPr>
          </w:p>
        </w:tc>
        <w:tc>
          <w:tcPr>
            <w:tcW w:w="3890" w:type="dxa"/>
            <w:tcBorders>
              <w:top w:val="single" w:sz="4" w:space="0" w:color="auto"/>
              <w:left w:val="nil"/>
              <w:bottom w:val="nil"/>
              <w:right w:val="single" w:sz="4" w:space="0" w:color="auto"/>
            </w:tcBorders>
            <w:shd w:val="clear" w:color="auto" w:fill="auto"/>
          </w:tcPr>
          <w:p w:rsidR="006E04B6" w:rsidRDefault="006E04B6" w:rsidP="008E6EC7">
            <w:pPr>
              <w:pStyle w:val="Infotext"/>
            </w:pPr>
          </w:p>
          <w:p w:rsidR="006E04B6" w:rsidRDefault="006E04B6" w:rsidP="008E6EC7">
            <w:pPr>
              <w:pStyle w:val="Infotext"/>
            </w:pPr>
          </w:p>
        </w:tc>
      </w:tr>
      <w:tr w:rsidR="00D040BA" w:rsidTr="006E04B6">
        <w:tc>
          <w:tcPr>
            <w:tcW w:w="4752" w:type="dxa"/>
            <w:tcBorders>
              <w:top w:val="nil"/>
              <w:left w:val="single" w:sz="4" w:space="0" w:color="auto"/>
              <w:bottom w:val="nil"/>
              <w:right w:val="single" w:sz="4" w:space="0" w:color="auto"/>
            </w:tcBorders>
            <w:shd w:val="clear" w:color="auto" w:fill="auto"/>
            <w:hideMark/>
          </w:tcPr>
          <w:p w:rsidR="006E04B6" w:rsidRPr="00D040BA" w:rsidRDefault="006E04B6" w:rsidP="008E6EC7">
            <w:pPr>
              <w:pStyle w:val="Infotext"/>
              <w:rPr>
                <w:u w:val="single"/>
              </w:rPr>
            </w:pPr>
            <w:r>
              <w:t xml:space="preserve">Name:  </w:t>
            </w:r>
            <w:r w:rsidR="00D040BA" w:rsidRPr="00D040BA">
              <w:t>Paul Hewitt</w:t>
            </w:r>
          </w:p>
        </w:tc>
        <w:tc>
          <w:tcPr>
            <w:tcW w:w="387" w:type="dxa"/>
            <w:tcBorders>
              <w:top w:val="single" w:sz="4" w:space="0" w:color="auto"/>
              <w:left w:val="single" w:sz="4" w:space="0" w:color="auto"/>
              <w:bottom w:val="single" w:sz="4" w:space="0" w:color="auto"/>
              <w:right w:val="single" w:sz="4" w:space="0" w:color="auto"/>
            </w:tcBorders>
            <w:shd w:val="clear" w:color="auto" w:fill="auto"/>
          </w:tcPr>
          <w:p w:rsidR="006E04B6" w:rsidRDefault="00556BFB" w:rsidP="008E6EC7">
            <w:pPr>
              <w:pStyle w:val="Infotext"/>
            </w:pPr>
            <w:r>
              <w:t>X</w:t>
            </w:r>
          </w:p>
        </w:tc>
        <w:tc>
          <w:tcPr>
            <w:tcW w:w="236" w:type="dxa"/>
            <w:tcBorders>
              <w:top w:val="nil"/>
              <w:left w:val="single" w:sz="4" w:space="0" w:color="auto"/>
              <w:bottom w:val="nil"/>
              <w:right w:val="nil"/>
            </w:tcBorders>
            <w:shd w:val="clear" w:color="auto" w:fill="auto"/>
          </w:tcPr>
          <w:p w:rsidR="006E04B6" w:rsidRDefault="006E04B6" w:rsidP="008E6EC7">
            <w:pPr>
              <w:pStyle w:val="Infotext"/>
            </w:pPr>
          </w:p>
        </w:tc>
        <w:tc>
          <w:tcPr>
            <w:tcW w:w="3890" w:type="dxa"/>
            <w:tcBorders>
              <w:top w:val="nil"/>
              <w:left w:val="nil"/>
              <w:bottom w:val="nil"/>
              <w:right w:val="single" w:sz="4" w:space="0" w:color="auto"/>
            </w:tcBorders>
            <w:shd w:val="clear" w:color="auto" w:fill="auto"/>
            <w:hideMark/>
          </w:tcPr>
          <w:p w:rsidR="006E04B6" w:rsidRDefault="006E04B6" w:rsidP="008E6EC7">
            <w:pPr>
              <w:pStyle w:val="Infotext"/>
            </w:pPr>
            <w:r>
              <w:t>Corporate Director</w:t>
            </w:r>
          </w:p>
        </w:tc>
      </w:tr>
      <w:tr w:rsidR="00D040BA" w:rsidTr="006E04B6">
        <w:tc>
          <w:tcPr>
            <w:tcW w:w="4752" w:type="dxa"/>
            <w:tcBorders>
              <w:top w:val="nil"/>
              <w:left w:val="single" w:sz="4" w:space="0" w:color="auto"/>
              <w:bottom w:val="single" w:sz="4" w:space="0" w:color="auto"/>
              <w:right w:val="nil"/>
            </w:tcBorders>
            <w:shd w:val="clear" w:color="auto" w:fill="auto"/>
            <w:hideMark/>
          </w:tcPr>
          <w:p w:rsidR="006E04B6" w:rsidRDefault="006E04B6" w:rsidP="008E6EC7">
            <w:pPr>
              <w:pStyle w:val="Infotext"/>
            </w:pPr>
            <w:r>
              <w:t xml:space="preserve"> </w:t>
            </w:r>
          </w:p>
          <w:p w:rsidR="006E04B6" w:rsidRDefault="006E04B6" w:rsidP="00A40313">
            <w:pPr>
              <w:pStyle w:val="Infotext"/>
            </w:pPr>
            <w:r>
              <w:t xml:space="preserve">Date:  </w:t>
            </w:r>
            <w:r w:rsidR="00556BFB">
              <w:t>24 April 2019</w:t>
            </w:r>
          </w:p>
        </w:tc>
        <w:tc>
          <w:tcPr>
            <w:tcW w:w="387" w:type="dxa"/>
            <w:tcBorders>
              <w:top w:val="single" w:sz="4" w:space="0" w:color="auto"/>
              <w:left w:val="nil"/>
              <w:bottom w:val="single" w:sz="4" w:space="0" w:color="auto"/>
              <w:right w:val="nil"/>
            </w:tcBorders>
            <w:shd w:val="clear" w:color="auto" w:fill="auto"/>
          </w:tcPr>
          <w:p w:rsidR="006E04B6" w:rsidRDefault="006E04B6" w:rsidP="008E6EC7">
            <w:pPr>
              <w:pStyle w:val="Infotext"/>
            </w:pPr>
          </w:p>
        </w:tc>
        <w:tc>
          <w:tcPr>
            <w:tcW w:w="236" w:type="dxa"/>
            <w:tcBorders>
              <w:top w:val="nil"/>
              <w:left w:val="nil"/>
              <w:bottom w:val="single" w:sz="4" w:space="0" w:color="auto"/>
              <w:right w:val="nil"/>
            </w:tcBorders>
            <w:shd w:val="clear" w:color="auto" w:fill="auto"/>
          </w:tcPr>
          <w:p w:rsidR="006E04B6" w:rsidRDefault="006E04B6" w:rsidP="008E6EC7">
            <w:pPr>
              <w:pStyle w:val="Infotext"/>
            </w:pPr>
          </w:p>
        </w:tc>
        <w:tc>
          <w:tcPr>
            <w:tcW w:w="3890" w:type="dxa"/>
            <w:tcBorders>
              <w:top w:val="nil"/>
              <w:left w:val="nil"/>
              <w:bottom w:val="single" w:sz="4" w:space="0" w:color="auto"/>
              <w:right w:val="single" w:sz="4" w:space="0" w:color="auto"/>
            </w:tcBorders>
            <w:shd w:val="clear" w:color="auto" w:fill="auto"/>
          </w:tcPr>
          <w:p w:rsidR="006E04B6" w:rsidRDefault="006E04B6" w:rsidP="008E6EC7">
            <w:pPr>
              <w:pStyle w:val="Infotext"/>
            </w:pPr>
          </w:p>
        </w:tc>
      </w:tr>
    </w:tbl>
    <w:p w:rsidR="006E04B6" w:rsidRDefault="006E04B6" w:rsidP="006E04B6">
      <w:pPr>
        <w:rPr>
          <w:szCs w:val="24"/>
        </w:rPr>
      </w:pPr>
    </w:p>
    <w:p w:rsidR="006E04B6" w:rsidRDefault="006E04B6" w:rsidP="00F67AF4">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8"/>
        <w:gridCol w:w="3367"/>
      </w:tblGrid>
      <w:tr w:rsidR="00F67AF4" w:rsidTr="00F67AF4">
        <w:trPr>
          <w:trHeight w:val="965"/>
        </w:trPr>
        <w:tc>
          <w:tcPr>
            <w:tcW w:w="3025" w:type="pct"/>
            <w:tcBorders>
              <w:top w:val="single" w:sz="4" w:space="0" w:color="auto"/>
              <w:left w:val="single" w:sz="4" w:space="0" w:color="auto"/>
              <w:bottom w:val="single" w:sz="4" w:space="0" w:color="auto"/>
              <w:right w:val="nil"/>
            </w:tcBorders>
          </w:tcPr>
          <w:p w:rsidR="00F67AF4" w:rsidRDefault="00F67AF4">
            <w:pPr>
              <w:pStyle w:val="Infotext"/>
              <w:rPr>
                <w:rFonts w:ascii="Arial Black" w:hAnsi="Arial Black"/>
              </w:rPr>
            </w:pPr>
          </w:p>
          <w:p w:rsidR="00F67AF4" w:rsidRDefault="00F67AF4">
            <w:pPr>
              <w:pStyle w:val="Infotext"/>
              <w:rPr>
                <w:rFonts w:ascii="Arial Black" w:hAnsi="Arial Black"/>
              </w:rPr>
            </w:pPr>
            <w:r>
              <w:rPr>
                <w:rFonts w:ascii="Arial Black" w:hAnsi="Arial Black"/>
              </w:rPr>
              <w:t>Ward Councillors notified:</w:t>
            </w:r>
          </w:p>
          <w:p w:rsidR="00F67AF4" w:rsidRDefault="00F67AF4">
            <w:pPr>
              <w:pStyle w:val="Infotext"/>
            </w:pPr>
          </w:p>
          <w:p w:rsidR="00DF5E54" w:rsidRPr="00DF5E54" w:rsidRDefault="00DF5E54">
            <w:pPr>
              <w:pStyle w:val="Infotext"/>
              <w:rPr>
                <w:b/>
              </w:rPr>
            </w:pPr>
          </w:p>
        </w:tc>
        <w:tc>
          <w:tcPr>
            <w:tcW w:w="1975" w:type="pct"/>
            <w:tcBorders>
              <w:top w:val="single" w:sz="4" w:space="0" w:color="auto"/>
              <w:left w:val="nil"/>
              <w:bottom w:val="single" w:sz="4" w:space="0" w:color="auto"/>
              <w:right w:val="single" w:sz="4" w:space="0" w:color="auto"/>
            </w:tcBorders>
          </w:tcPr>
          <w:p w:rsidR="00F67AF4" w:rsidRDefault="00F67AF4">
            <w:pPr>
              <w:pStyle w:val="Infotext"/>
            </w:pPr>
          </w:p>
          <w:p w:rsidR="00F67AF4" w:rsidRDefault="00F67AF4">
            <w:pPr>
              <w:pStyle w:val="Infotext"/>
              <w:spacing w:before="120"/>
              <w:rPr>
                <w:b/>
              </w:rPr>
            </w:pPr>
            <w:r>
              <w:rPr>
                <w:b/>
              </w:rPr>
              <w:t xml:space="preserve">NO </w:t>
            </w:r>
          </w:p>
          <w:p w:rsidR="00F67AF4" w:rsidRDefault="00F67AF4">
            <w:pPr>
              <w:pStyle w:val="Infotext"/>
              <w:rPr>
                <w:i/>
                <w:sz w:val="24"/>
                <w:szCs w:val="24"/>
              </w:rPr>
            </w:pPr>
          </w:p>
          <w:p w:rsidR="00F67AF4" w:rsidRDefault="00F67AF4">
            <w:pPr>
              <w:pStyle w:val="Infotext"/>
              <w:ind w:left="173"/>
              <w:rPr>
                <w:i/>
                <w:sz w:val="24"/>
                <w:szCs w:val="24"/>
              </w:rPr>
            </w:pPr>
          </w:p>
        </w:tc>
      </w:tr>
    </w:tbl>
    <w:p w:rsidR="00F67AF4" w:rsidRDefault="00F67AF4" w:rsidP="00F67AF4">
      <w:pPr>
        <w:rPr>
          <w:rFonts w:cs="Arial"/>
        </w:rPr>
      </w:pPr>
    </w:p>
    <w:p w:rsidR="00F67AF4" w:rsidRDefault="00F67AF4" w:rsidP="00F67AF4">
      <w:pPr>
        <w:pStyle w:val="Heading1"/>
        <w:rPr>
          <w:rFonts w:cs="Times New Roman"/>
        </w:rPr>
      </w:pPr>
      <w:r>
        <w:t xml:space="preserve">Section </w:t>
      </w:r>
      <w:r w:rsidR="00D90E39">
        <w:t>4</w:t>
      </w:r>
      <w:r>
        <w:t xml:space="preserve"> - Contact Details and Background Papers</w:t>
      </w:r>
    </w:p>
    <w:p w:rsidR="00F67AF4" w:rsidRDefault="00F67AF4" w:rsidP="00F67AF4">
      <w:pPr>
        <w:keepNext/>
        <w:rPr>
          <w:rFonts w:cs="Arial"/>
          <w:szCs w:val="24"/>
        </w:rPr>
      </w:pPr>
    </w:p>
    <w:p w:rsidR="00F67AF4" w:rsidRDefault="00F67AF4" w:rsidP="00F67AF4">
      <w:pPr>
        <w:ind w:left="720" w:hanging="720"/>
        <w:rPr>
          <w:rFonts w:cs="Arial"/>
        </w:rPr>
      </w:pPr>
      <w:r>
        <w:rPr>
          <w:rFonts w:cs="Arial"/>
          <w:b/>
          <w:szCs w:val="24"/>
        </w:rPr>
        <w:t>Contact:</w:t>
      </w:r>
      <w:r>
        <w:rPr>
          <w:rFonts w:cs="Arial"/>
          <w:szCs w:val="24"/>
        </w:rPr>
        <w:t xml:space="preserve">  Javina Sehgal, Managing Director, Harrow CCG, </w:t>
      </w:r>
      <w:r>
        <w:rPr>
          <w:szCs w:val="24"/>
          <w:lang w:eastAsia="en-GB"/>
        </w:rPr>
        <w:t>020 8966 1147</w:t>
      </w:r>
    </w:p>
    <w:p w:rsidR="00F67AF4" w:rsidRDefault="00F67AF4" w:rsidP="00F67AF4">
      <w:pPr>
        <w:rPr>
          <w:rFonts w:cs="Arial"/>
        </w:rPr>
      </w:pPr>
    </w:p>
    <w:p w:rsidR="002A2389" w:rsidRDefault="00F67AF4" w:rsidP="00F67AF4">
      <w:r>
        <w:rPr>
          <w:rFonts w:cs="Arial"/>
          <w:b/>
          <w:sz w:val="28"/>
        </w:rPr>
        <w:t>Background Papers:</w:t>
      </w:r>
      <w:r>
        <w:rPr>
          <w:rFonts w:cs="Arial"/>
          <w:sz w:val="28"/>
        </w:rPr>
        <w:t xml:space="preserve">  </w:t>
      </w:r>
      <w:r w:rsidR="00D90E39">
        <w:rPr>
          <w:rFonts w:cs="Arial"/>
        </w:rPr>
        <w:t>None</w:t>
      </w:r>
    </w:p>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0F2" w:rsidRDefault="00FF30F2">
      <w:r>
        <w:separator/>
      </w:r>
    </w:p>
  </w:endnote>
  <w:endnote w:type="continuationSeparator" w:id="0">
    <w:p w:rsidR="00FF30F2" w:rsidRDefault="00FF3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0F2" w:rsidRDefault="00FF30F2">
      <w:r>
        <w:separator/>
      </w:r>
    </w:p>
  </w:footnote>
  <w:footnote w:type="continuationSeparator" w:id="0">
    <w:p w:rsidR="00FF30F2" w:rsidRDefault="00FF30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1626"/>
    <w:multiLevelType w:val="hybridMultilevel"/>
    <w:tmpl w:val="EFB0CCBA"/>
    <w:lvl w:ilvl="0" w:tplc="91BA2788">
      <w:start w:val="1"/>
      <w:numFmt w:val="bullet"/>
      <w:lvlText w:val="•"/>
      <w:lvlJc w:val="left"/>
      <w:pPr>
        <w:tabs>
          <w:tab w:val="num" w:pos="720"/>
        </w:tabs>
        <w:ind w:left="720" w:hanging="360"/>
      </w:pPr>
      <w:rPr>
        <w:rFonts w:ascii="Arial" w:hAnsi="Arial" w:cs="Times New Roman" w:hint="default"/>
      </w:rPr>
    </w:lvl>
    <w:lvl w:ilvl="1" w:tplc="E77287A0">
      <w:start w:val="1"/>
      <w:numFmt w:val="bullet"/>
      <w:lvlText w:val="•"/>
      <w:lvlJc w:val="left"/>
      <w:pPr>
        <w:tabs>
          <w:tab w:val="num" w:pos="1440"/>
        </w:tabs>
        <w:ind w:left="1440" w:hanging="360"/>
      </w:pPr>
      <w:rPr>
        <w:rFonts w:ascii="Arial" w:hAnsi="Arial" w:cs="Times New Roman" w:hint="default"/>
      </w:rPr>
    </w:lvl>
    <w:lvl w:ilvl="2" w:tplc="9D9A8BF8">
      <w:start w:val="1"/>
      <w:numFmt w:val="bullet"/>
      <w:lvlText w:val="•"/>
      <w:lvlJc w:val="left"/>
      <w:pPr>
        <w:tabs>
          <w:tab w:val="num" w:pos="2160"/>
        </w:tabs>
        <w:ind w:left="2160" w:hanging="360"/>
      </w:pPr>
      <w:rPr>
        <w:rFonts w:ascii="Arial" w:hAnsi="Arial" w:cs="Times New Roman" w:hint="default"/>
      </w:rPr>
    </w:lvl>
    <w:lvl w:ilvl="3" w:tplc="338830D4">
      <w:start w:val="1"/>
      <w:numFmt w:val="bullet"/>
      <w:lvlText w:val="•"/>
      <w:lvlJc w:val="left"/>
      <w:pPr>
        <w:tabs>
          <w:tab w:val="num" w:pos="2880"/>
        </w:tabs>
        <w:ind w:left="2880" w:hanging="360"/>
      </w:pPr>
      <w:rPr>
        <w:rFonts w:ascii="Arial" w:hAnsi="Arial" w:cs="Times New Roman" w:hint="default"/>
      </w:rPr>
    </w:lvl>
    <w:lvl w:ilvl="4" w:tplc="8486AE92">
      <w:start w:val="1"/>
      <w:numFmt w:val="bullet"/>
      <w:lvlText w:val="•"/>
      <w:lvlJc w:val="left"/>
      <w:pPr>
        <w:tabs>
          <w:tab w:val="num" w:pos="3600"/>
        </w:tabs>
        <w:ind w:left="3600" w:hanging="360"/>
      </w:pPr>
      <w:rPr>
        <w:rFonts w:ascii="Arial" w:hAnsi="Arial" w:cs="Times New Roman" w:hint="default"/>
      </w:rPr>
    </w:lvl>
    <w:lvl w:ilvl="5" w:tplc="A63A7F56">
      <w:start w:val="1"/>
      <w:numFmt w:val="bullet"/>
      <w:lvlText w:val="•"/>
      <w:lvlJc w:val="left"/>
      <w:pPr>
        <w:tabs>
          <w:tab w:val="num" w:pos="4320"/>
        </w:tabs>
        <w:ind w:left="4320" w:hanging="360"/>
      </w:pPr>
      <w:rPr>
        <w:rFonts w:ascii="Arial" w:hAnsi="Arial" w:cs="Times New Roman" w:hint="default"/>
      </w:rPr>
    </w:lvl>
    <w:lvl w:ilvl="6" w:tplc="96165422">
      <w:start w:val="1"/>
      <w:numFmt w:val="bullet"/>
      <w:lvlText w:val="•"/>
      <w:lvlJc w:val="left"/>
      <w:pPr>
        <w:tabs>
          <w:tab w:val="num" w:pos="5040"/>
        </w:tabs>
        <w:ind w:left="5040" w:hanging="360"/>
      </w:pPr>
      <w:rPr>
        <w:rFonts w:ascii="Arial" w:hAnsi="Arial" w:cs="Times New Roman" w:hint="default"/>
      </w:rPr>
    </w:lvl>
    <w:lvl w:ilvl="7" w:tplc="093CC39A">
      <w:start w:val="1"/>
      <w:numFmt w:val="bullet"/>
      <w:lvlText w:val="•"/>
      <w:lvlJc w:val="left"/>
      <w:pPr>
        <w:tabs>
          <w:tab w:val="num" w:pos="5760"/>
        </w:tabs>
        <w:ind w:left="5760" w:hanging="360"/>
      </w:pPr>
      <w:rPr>
        <w:rFonts w:ascii="Arial" w:hAnsi="Arial" w:cs="Times New Roman" w:hint="default"/>
      </w:rPr>
    </w:lvl>
    <w:lvl w:ilvl="8" w:tplc="945C0A9C">
      <w:start w:val="1"/>
      <w:numFmt w:val="bullet"/>
      <w:lvlText w:val="•"/>
      <w:lvlJc w:val="left"/>
      <w:pPr>
        <w:tabs>
          <w:tab w:val="num" w:pos="6480"/>
        </w:tabs>
        <w:ind w:left="6480" w:hanging="360"/>
      </w:pPr>
      <w:rPr>
        <w:rFonts w:ascii="Arial" w:hAnsi="Arial" w:cs="Times New Roman" w:hint="default"/>
      </w:rPr>
    </w:lvl>
  </w:abstractNum>
  <w:abstractNum w:abstractNumId="1">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86351A"/>
    <w:multiLevelType w:val="hybridMultilevel"/>
    <w:tmpl w:val="C9CACEA8"/>
    <w:lvl w:ilvl="0" w:tplc="8698E98A">
      <w:start w:val="1"/>
      <w:numFmt w:val="bullet"/>
      <w:lvlText w:val="•"/>
      <w:lvlJc w:val="left"/>
      <w:pPr>
        <w:tabs>
          <w:tab w:val="num" w:pos="720"/>
        </w:tabs>
        <w:ind w:left="720" w:hanging="360"/>
      </w:pPr>
      <w:rPr>
        <w:rFonts w:ascii="Arial" w:hAnsi="Arial" w:cs="Times New Roman" w:hint="default"/>
      </w:rPr>
    </w:lvl>
    <w:lvl w:ilvl="1" w:tplc="16BEDB5E">
      <w:start w:val="1"/>
      <w:numFmt w:val="bullet"/>
      <w:lvlText w:val="•"/>
      <w:lvlJc w:val="left"/>
      <w:pPr>
        <w:tabs>
          <w:tab w:val="num" w:pos="1440"/>
        </w:tabs>
        <w:ind w:left="1440" w:hanging="360"/>
      </w:pPr>
      <w:rPr>
        <w:rFonts w:ascii="Arial" w:hAnsi="Arial" w:cs="Times New Roman" w:hint="default"/>
      </w:rPr>
    </w:lvl>
    <w:lvl w:ilvl="2" w:tplc="3AC297CC">
      <w:start w:val="1"/>
      <w:numFmt w:val="bullet"/>
      <w:lvlText w:val="•"/>
      <w:lvlJc w:val="left"/>
      <w:pPr>
        <w:tabs>
          <w:tab w:val="num" w:pos="2160"/>
        </w:tabs>
        <w:ind w:left="2160" w:hanging="360"/>
      </w:pPr>
      <w:rPr>
        <w:rFonts w:ascii="Arial" w:hAnsi="Arial" w:cs="Times New Roman" w:hint="default"/>
      </w:rPr>
    </w:lvl>
    <w:lvl w:ilvl="3" w:tplc="F52C5E86">
      <w:start w:val="1"/>
      <w:numFmt w:val="bullet"/>
      <w:lvlText w:val="•"/>
      <w:lvlJc w:val="left"/>
      <w:pPr>
        <w:tabs>
          <w:tab w:val="num" w:pos="2880"/>
        </w:tabs>
        <w:ind w:left="2880" w:hanging="360"/>
      </w:pPr>
      <w:rPr>
        <w:rFonts w:ascii="Arial" w:hAnsi="Arial" w:cs="Times New Roman" w:hint="default"/>
      </w:rPr>
    </w:lvl>
    <w:lvl w:ilvl="4" w:tplc="9E5E03D8">
      <w:start w:val="1"/>
      <w:numFmt w:val="bullet"/>
      <w:lvlText w:val="•"/>
      <w:lvlJc w:val="left"/>
      <w:pPr>
        <w:tabs>
          <w:tab w:val="num" w:pos="3600"/>
        </w:tabs>
        <w:ind w:left="3600" w:hanging="360"/>
      </w:pPr>
      <w:rPr>
        <w:rFonts w:ascii="Arial" w:hAnsi="Arial" w:cs="Times New Roman" w:hint="default"/>
      </w:rPr>
    </w:lvl>
    <w:lvl w:ilvl="5" w:tplc="EC5C40A4">
      <w:start w:val="1"/>
      <w:numFmt w:val="bullet"/>
      <w:lvlText w:val="•"/>
      <w:lvlJc w:val="left"/>
      <w:pPr>
        <w:tabs>
          <w:tab w:val="num" w:pos="4320"/>
        </w:tabs>
        <w:ind w:left="4320" w:hanging="360"/>
      </w:pPr>
      <w:rPr>
        <w:rFonts w:ascii="Arial" w:hAnsi="Arial" w:cs="Times New Roman" w:hint="default"/>
      </w:rPr>
    </w:lvl>
    <w:lvl w:ilvl="6" w:tplc="51BAA6F6">
      <w:start w:val="1"/>
      <w:numFmt w:val="bullet"/>
      <w:lvlText w:val="•"/>
      <w:lvlJc w:val="left"/>
      <w:pPr>
        <w:tabs>
          <w:tab w:val="num" w:pos="5040"/>
        </w:tabs>
        <w:ind w:left="5040" w:hanging="360"/>
      </w:pPr>
      <w:rPr>
        <w:rFonts w:ascii="Arial" w:hAnsi="Arial" w:cs="Times New Roman" w:hint="default"/>
      </w:rPr>
    </w:lvl>
    <w:lvl w:ilvl="7" w:tplc="A7DE5812">
      <w:start w:val="1"/>
      <w:numFmt w:val="bullet"/>
      <w:lvlText w:val="•"/>
      <w:lvlJc w:val="left"/>
      <w:pPr>
        <w:tabs>
          <w:tab w:val="num" w:pos="5760"/>
        </w:tabs>
        <w:ind w:left="5760" w:hanging="360"/>
      </w:pPr>
      <w:rPr>
        <w:rFonts w:ascii="Arial" w:hAnsi="Arial" w:cs="Times New Roman" w:hint="default"/>
      </w:rPr>
    </w:lvl>
    <w:lvl w:ilvl="8" w:tplc="09D8E700">
      <w:start w:val="1"/>
      <w:numFmt w:val="bullet"/>
      <w:lvlText w:val="•"/>
      <w:lvlJc w:val="left"/>
      <w:pPr>
        <w:tabs>
          <w:tab w:val="num" w:pos="6480"/>
        </w:tabs>
        <w:ind w:left="6480" w:hanging="360"/>
      </w:pPr>
      <w:rPr>
        <w:rFonts w:ascii="Arial" w:hAnsi="Arial" w:cs="Times New Roman" w:hint="default"/>
      </w:rPr>
    </w:lvl>
  </w:abstractNum>
  <w:abstractNum w:abstractNumId="4">
    <w:nsid w:val="0673206F"/>
    <w:multiLevelType w:val="hybridMultilevel"/>
    <w:tmpl w:val="4A9A55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77E1D9B"/>
    <w:multiLevelType w:val="hybridMultilevel"/>
    <w:tmpl w:val="E4984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1">
    <w:nsid w:val="3EE64787"/>
    <w:multiLevelType w:val="hybridMultilevel"/>
    <w:tmpl w:val="855696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46EE4EF0"/>
    <w:multiLevelType w:val="hybridMultilevel"/>
    <w:tmpl w:val="08D426C8"/>
    <w:lvl w:ilvl="0" w:tplc="3ED85676">
      <w:start w:val="1"/>
      <w:numFmt w:val="bullet"/>
      <w:lvlText w:val="∙"/>
      <w:lvlJc w:val="left"/>
      <w:pPr>
        <w:tabs>
          <w:tab w:val="num" w:pos="720"/>
        </w:tabs>
        <w:ind w:left="720" w:hanging="360"/>
      </w:pPr>
      <w:rPr>
        <w:rFonts w:ascii="Noto Sans Symbols" w:hAnsi="Noto Sans Symbols" w:hint="default"/>
      </w:rPr>
    </w:lvl>
    <w:lvl w:ilvl="1" w:tplc="7EBA40D4">
      <w:start w:val="1"/>
      <w:numFmt w:val="bullet"/>
      <w:lvlText w:val="∙"/>
      <w:lvlJc w:val="left"/>
      <w:pPr>
        <w:tabs>
          <w:tab w:val="num" w:pos="1440"/>
        </w:tabs>
        <w:ind w:left="1440" w:hanging="360"/>
      </w:pPr>
      <w:rPr>
        <w:rFonts w:ascii="Noto Sans Symbols" w:hAnsi="Noto Sans Symbols" w:hint="default"/>
      </w:rPr>
    </w:lvl>
    <w:lvl w:ilvl="2" w:tplc="59988B14">
      <w:start w:val="1"/>
      <w:numFmt w:val="bullet"/>
      <w:lvlText w:val="∙"/>
      <w:lvlJc w:val="left"/>
      <w:pPr>
        <w:tabs>
          <w:tab w:val="num" w:pos="2160"/>
        </w:tabs>
        <w:ind w:left="2160" w:hanging="360"/>
      </w:pPr>
      <w:rPr>
        <w:rFonts w:ascii="Noto Sans Symbols" w:hAnsi="Noto Sans Symbols" w:hint="default"/>
      </w:rPr>
    </w:lvl>
    <w:lvl w:ilvl="3" w:tplc="F5D2251A">
      <w:start w:val="1"/>
      <w:numFmt w:val="bullet"/>
      <w:lvlText w:val="∙"/>
      <w:lvlJc w:val="left"/>
      <w:pPr>
        <w:tabs>
          <w:tab w:val="num" w:pos="2880"/>
        </w:tabs>
        <w:ind w:left="2880" w:hanging="360"/>
      </w:pPr>
      <w:rPr>
        <w:rFonts w:ascii="Noto Sans Symbols" w:hAnsi="Noto Sans Symbols" w:hint="default"/>
      </w:rPr>
    </w:lvl>
    <w:lvl w:ilvl="4" w:tplc="D5825766">
      <w:start w:val="1"/>
      <w:numFmt w:val="bullet"/>
      <w:lvlText w:val="∙"/>
      <w:lvlJc w:val="left"/>
      <w:pPr>
        <w:tabs>
          <w:tab w:val="num" w:pos="3600"/>
        </w:tabs>
        <w:ind w:left="3600" w:hanging="360"/>
      </w:pPr>
      <w:rPr>
        <w:rFonts w:ascii="Noto Sans Symbols" w:hAnsi="Noto Sans Symbols" w:hint="default"/>
      </w:rPr>
    </w:lvl>
    <w:lvl w:ilvl="5" w:tplc="6602DE12">
      <w:start w:val="1"/>
      <w:numFmt w:val="bullet"/>
      <w:lvlText w:val="∙"/>
      <w:lvlJc w:val="left"/>
      <w:pPr>
        <w:tabs>
          <w:tab w:val="num" w:pos="4320"/>
        </w:tabs>
        <w:ind w:left="4320" w:hanging="360"/>
      </w:pPr>
      <w:rPr>
        <w:rFonts w:ascii="Noto Sans Symbols" w:hAnsi="Noto Sans Symbols" w:hint="default"/>
      </w:rPr>
    </w:lvl>
    <w:lvl w:ilvl="6" w:tplc="D67E458E">
      <w:start w:val="1"/>
      <w:numFmt w:val="bullet"/>
      <w:lvlText w:val="∙"/>
      <w:lvlJc w:val="left"/>
      <w:pPr>
        <w:tabs>
          <w:tab w:val="num" w:pos="5040"/>
        </w:tabs>
        <w:ind w:left="5040" w:hanging="360"/>
      </w:pPr>
      <w:rPr>
        <w:rFonts w:ascii="Noto Sans Symbols" w:hAnsi="Noto Sans Symbols" w:hint="default"/>
      </w:rPr>
    </w:lvl>
    <w:lvl w:ilvl="7" w:tplc="BE64A6AA">
      <w:start w:val="1"/>
      <w:numFmt w:val="bullet"/>
      <w:lvlText w:val="∙"/>
      <w:lvlJc w:val="left"/>
      <w:pPr>
        <w:tabs>
          <w:tab w:val="num" w:pos="5760"/>
        </w:tabs>
        <w:ind w:left="5760" w:hanging="360"/>
      </w:pPr>
      <w:rPr>
        <w:rFonts w:ascii="Noto Sans Symbols" w:hAnsi="Noto Sans Symbols" w:hint="default"/>
      </w:rPr>
    </w:lvl>
    <w:lvl w:ilvl="8" w:tplc="33FE0516">
      <w:start w:val="1"/>
      <w:numFmt w:val="bullet"/>
      <w:lvlText w:val="∙"/>
      <w:lvlJc w:val="left"/>
      <w:pPr>
        <w:tabs>
          <w:tab w:val="num" w:pos="6480"/>
        </w:tabs>
        <w:ind w:left="6480" w:hanging="360"/>
      </w:pPr>
      <w:rPr>
        <w:rFonts w:ascii="Noto Sans Symbols" w:hAnsi="Noto Sans Symbols" w:hint="default"/>
      </w:rPr>
    </w:lvl>
  </w:abstractNum>
  <w:abstractNum w:abstractNumId="13">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27E4D9F"/>
    <w:multiLevelType w:val="hybridMultilevel"/>
    <w:tmpl w:val="1212A11C"/>
    <w:lvl w:ilvl="0" w:tplc="4D04F36E">
      <w:start w:val="1"/>
      <w:numFmt w:val="bullet"/>
      <w:lvlText w:val="•"/>
      <w:lvlJc w:val="left"/>
      <w:pPr>
        <w:tabs>
          <w:tab w:val="num" w:pos="720"/>
        </w:tabs>
        <w:ind w:left="720" w:hanging="360"/>
      </w:pPr>
      <w:rPr>
        <w:rFonts w:ascii="Arial" w:hAnsi="Arial" w:cs="Times New Roman" w:hint="default"/>
      </w:rPr>
    </w:lvl>
    <w:lvl w:ilvl="1" w:tplc="5B60C5D0">
      <w:start w:val="1"/>
      <w:numFmt w:val="bullet"/>
      <w:lvlText w:val="•"/>
      <w:lvlJc w:val="left"/>
      <w:pPr>
        <w:tabs>
          <w:tab w:val="num" w:pos="1440"/>
        </w:tabs>
        <w:ind w:left="1440" w:hanging="360"/>
      </w:pPr>
      <w:rPr>
        <w:rFonts w:ascii="Arial" w:hAnsi="Arial" w:cs="Times New Roman" w:hint="default"/>
      </w:rPr>
    </w:lvl>
    <w:lvl w:ilvl="2" w:tplc="3710BD1E">
      <w:start w:val="1"/>
      <w:numFmt w:val="bullet"/>
      <w:lvlText w:val="•"/>
      <w:lvlJc w:val="left"/>
      <w:pPr>
        <w:tabs>
          <w:tab w:val="num" w:pos="2160"/>
        </w:tabs>
        <w:ind w:left="2160" w:hanging="360"/>
      </w:pPr>
      <w:rPr>
        <w:rFonts w:ascii="Arial" w:hAnsi="Arial" w:cs="Times New Roman" w:hint="default"/>
      </w:rPr>
    </w:lvl>
    <w:lvl w:ilvl="3" w:tplc="C0EA5568">
      <w:start w:val="1"/>
      <w:numFmt w:val="bullet"/>
      <w:lvlText w:val="•"/>
      <w:lvlJc w:val="left"/>
      <w:pPr>
        <w:tabs>
          <w:tab w:val="num" w:pos="2880"/>
        </w:tabs>
        <w:ind w:left="2880" w:hanging="360"/>
      </w:pPr>
      <w:rPr>
        <w:rFonts w:ascii="Arial" w:hAnsi="Arial" w:cs="Times New Roman" w:hint="default"/>
      </w:rPr>
    </w:lvl>
    <w:lvl w:ilvl="4" w:tplc="CB8C62E0">
      <w:start w:val="1"/>
      <w:numFmt w:val="bullet"/>
      <w:lvlText w:val="•"/>
      <w:lvlJc w:val="left"/>
      <w:pPr>
        <w:tabs>
          <w:tab w:val="num" w:pos="3600"/>
        </w:tabs>
        <w:ind w:left="3600" w:hanging="360"/>
      </w:pPr>
      <w:rPr>
        <w:rFonts w:ascii="Arial" w:hAnsi="Arial" w:cs="Times New Roman" w:hint="default"/>
      </w:rPr>
    </w:lvl>
    <w:lvl w:ilvl="5" w:tplc="91200518">
      <w:start w:val="1"/>
      <w:numFmt w:val="bullet"/>
      <w:lvlText w:val="•"/>
      <w:lvlJc w:val="left"/>
      <w:pPr>
        <w:tabs>
          <w:tab w:val="num" w:pos="4320"/>
        </w:tabs>
        <w:ind w:left="4320" w:hanging="360"/>
      </w:pPr>
      <w:rPr>
        <w:rFonts w:ascii="Arial" w:hAnsi="Arial" w:cs="Times New Roman" w:hint="default"/>
      </w:rPr>
    </w:lvl>
    <w:lvl w:ilvl="6" w:tplc="D57A549C">
      <w:start w:val="1"/>
      <w:numFmt w:val="bullet"/>
      <w:lvlText w:val="•"/>
      <w:lvlJc w:val="left"/>
      <w:pPr>
        <w:tabs>
          <w:tab w:val="num" w:pos="5040"/>
        </w:tabs>
        <w:ind w:left="5040" w:hanging="360"/>
      </w:pPr>
      <w:rPr>
        <w:rFonts w:ascii="Arial" w:hAnsi="Arial" w:cs="Times New Roman" w:hint="default"/>
      </w:rPr>
    </w:lvl>
    <w:lvl w:ilvl="7" w:tplc="3E826E7E">
      <w:start w:val="1"/>
      <w:numFmt w:val="bullet"/>
      <w:lvlText w:val="•"/>
      <w:lvlJc w:val="left"/>
      <w:pPr>
        <w:tabs>
          <w:tab w:val="num" w:pos="5760"/>
        </w:tabs>
        <w:ind w:left="5760" w:hanging="360"/>
      </w:pPr>
      <w:rPr>
        <w:rFonts w:ascii="Arial" w:hAnsi="Arial" w:cs="Times New Roman" w:hint="default"/>
      </w:rPr>
    </w:lvl>
    <w:lvl w:ilvl="8" w:tplc="4138771C">
      <w:start w:val="1"/>
      <w:numFmt w:val="bullet"/>
      <w:lvlText w:val="•"/>
      <w:lvlJc w:val="left"/>
      <w:pPr>
        <w:tabs>
          <w:tab w:val="num" w:pos="6480"/>
        </w:tabs>
        <w:ind w:left="6480" w:hanging="360"/>
      </w:pPr>
      <w:rPr>
        <w:rFonts w:ascii="Arial" w:hAnsi="Arial" w:cs="Times New Roman" w:hint="default"/>
      </w:rPr>
    </w:lvl>
  </w:abstractNum>
  <w:abstractNum w:abstractNumId="17">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60C0DCF"/>
    <w:multiLevelType w:val="hybridMultilevel"/>
    <w:tmpl w:val="D466D394"/>
    <w:lvl w:ilvl="0" w:tplc="8E0CDCD0">
      <w:start w:val="1"/>
      <w:numFmt w:val="bullet"/>
      <w:lvlText w:val="•"/>
      <w:lvlJc w:val="left"/>
      <w:pPr>
        <w:tabs>
          <w:tab w:val="num" w:pos="720"/>
        </w:tabs>
        <w:ind w:left="720" w:hanging="360"/>
      </w:pPr>
      <w:rPr>
        <w:rFonts w:ascii="Arial" w:hAnsi="Arial" w:cs="Times New Roman" w:hint="default"/>
      </w:rPr>
    </w:lvl>
    <w:lvl w:ilvl="1" w:tplc="CB4E1306">
      <w:start w:val="1"/>
      <w:numFmt w:val="bullet"/>
      <w:lvlText w:val="•"/>
      <w:lvlJc w:val="left"/>
      <w:pPr>
        <w:tabs>
          <w:tab w:val="num" w:pos="1440"/>
        </w:tabs>
        <w:ind w:left="1440" w:hanging="360"/>
      </w:pPr>
      <w:rPr>
        <w:rFonts w:ascii="Arial" w:hAnsi="Arial" w:cs="Times New Roman" w:hint="default"/>
      </w:rPr>
    </w:lvl>
    <w:lvl w:ilvl="2" w:tplc="11F42D02">
      <w:start w:val="1"/>
      <w:numFmt w:val="bullet"/>
      <w:lvlText w:val="•"/>
      <w:lvlJc w:val="left"/>
      <w:pPr>
        <w:tabs>
          <w:tab w:val="num" w:pos="2160"/>
        </w:tabs>
        <w:ind w:left="2160" w:hanging="360"/>
      </w:pPr>
      <w:rPr>
        <w:rFonts w:ascii="Arial" w:hAnsi="Arial" w:cs="Times New Roman" w:hint="default"/>
      </w:rPr>
    </w:lvl>
    <w:lvl w:ilvl="3" w:tplc="0484B73C">
      <w:start w:val="1"/>
      <w:numFmt w:val="bullet"/>
      <w:lvlText w:val="•"/>
      <w:lvlJc w:val="left"/>
      <w:pPr>
        <w:tabs>
          <w:tab w:val="num" w:pos="2880"/>
        </w:tabs>
        <w:ind w:left="2880" w:hanging="360"/>
      </w:pPr>
      <w:rPr>
        <w:rFonts w:ascii="Arial" w:hAnsi="Arial" w:cs="Times New Roman" w:hint="default"/>
      </w:rPr>
    </w:lvl>
    <w:lvl w:ilvl="4" w:tplc="1DFA7CEC">
      <w:start w:val="1"/>
      <w:numFmt w:val="bullet"/>
      <w:lvlText w:val="•"/>
      <w:lvlJc w:val="left"/>
      <w:pPr>
        <w:tabs>
          <w:tab w:val="num" w:pos="3600"/>
        </w:tabs>
        <w:ind w:left="3600" w:hanging="360"/>
      </w:pPr>
      <w:rPr>
        <w:rFonts w:ascii="Arial" w:hAnsi="Arial" w:cs="Times New Roman" w:hint="default"/>
      </w:rPr>
    </w:lvl>
    <w:lvl w:ilvl="5" w:tplc="EEC6E73A">
      <w:start w:val="1"/>
      <w:numFmt w:val="bullet"/>
      <w:lvlText w:val="•"/>
      <w:lvlJc w:val="left"/>
      <w:pPr>
        <w:tabs>
          <w:tab w:val="num" w:pos="4320"/>
        </w:tabs>
        <w:ind w:left="4320" w:hanging="360"/>
      </w:pPr>
      <w:rPr>
        <w:rFonts w:ascii="Arial" w:hAnsi="Arial" w:cs="Times New Roman" w:hint="default"/>
      </w:rPr>
    </w:lvl>
    <w:lvl w:ilvl="6" w:tplc="19E4B7AA">
      <w:start w:val="1"/>
      <w:numFmt w:val="bullet"/>
      <w:lvlText w:val="•"/>
      <w:lvlJc w:val="left"/>
      <w:pPr>
        <w:tabs>
          <w:tab w:val="num" w:pos="5040"/>
        </w:tabs>
        <w:ind w:left="5040" w:hanging="360"/>
      </w:pPr>
      <w:rPr>
        <w:rFonts w:ascii="Arial" w:hAnsi="Arial" w:cs="Times New Roman" w:hint="default"/>
      </w:rPr>
    </w:lvl>
    <w:lvl w:ilvl="7" w:tplc="775EF020">
      <w:start w:val="1"/>
      <w:numFmt w:val="bullet"/>
      <w:lvlText w:val="•"/>
      <w:lvlJc w:val="left"/>
      <w:pPr>
        <w:tabs>
          <w:tab w:val="num" w:pos="5760"/>
        </w:tabs>
        <w:ind w:left="5760" w:hanging="360"/>
      </w:pPr>
      <w:rPr>
        <w:rFonts w:ascii="Arial" w:hAnsi="Arial" w:cs="Times New Roman" w:hint="default"/>
      </w:rPr>
    </w:lvl>
    <w:lvl w:ilvl="8" w:tplc="8E46BE1E">
      <w:start w:val="1"/>
      <w:numFmt w:val="bullet"/>
      <w:lvlText w:val="•"/>
      <w:lvlJc w:val="left"/>
      <w:pPr>
        <w:tabs>
          <w:tab w:val="num" w:pos="6480"/>
        </w:tabs>
        <w:ind w:left="6480" w:hanging="360"/>
      </w:pPr>
      <w:rPr>
        <w:rFonts w:ascii="Arial" w:hAnsi="Arial" w:cs="Times New Roman" w:hint="default"/>
      </w:rPr>
    </w:lvl>
  </w:abstractNum>
  <w:abstractNum w:abstractNumId="2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17"/>
  </w:num>
  <w:num w:numId="4">
    <w:abstractNumId w:val="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0"/>
  </w:num>
  <w:num w:numId="8">
    <w:abstractNumId w:val="6"/>
  </w:num>
  <w:num w:numId="9">
    <w:abstractNumId w:val="15"/>
  </w:num>
  <w:num w:numId="10">
    <w:abstractNumId w:val="20"/>
  </w:num>
  <w:num w:numId="11">
    <w:abstractNumId w:val="14"/>
  </w:num>
  <w:num w:numId="12">
    <w:abstractNumId w:val="5"/>
  </w:num>
  <w:num w:numId="13">
    <w:abstractNumId w:val="7"/>
  </w:num>
  <w:num w:numId="14">
    <w:abstractNumId w:val="3"/>
  </w:num>
  <w:num w:numId="15">
    <w:abstractNumId w:val="16"/>
  </w:num>
  <w:num w:numId="16">
    <w:abstractNumId w:val="12"/>
  </w:num>
  <w:num w:numId="17">
    <w:abstractNumId w:val="11"/>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9"/>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0"/>
  </w:num>
  <w:num w:numId="25">
    <w:abstractNumId w:val="14"/>
  </w:num>
  <w:num w:numId="26">
    <w:abstractNumId w:val="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24/04/2019 12:36"/>
  </w:docVars>
  <w:rsids>
    <w:rsidRoot w:val="007E7303"/>
    <w:rsid w:val="000110EA"/>
    <w:rsid w:val="00057F10"/>
    <w:rsid w:val="00071EB4"/>
    <w:rsid w:val="00077298"/>
    <w:rsid w:val="00080819"/>
    <w:rsid w:val="000B1E5E"/>
    <w:rsid w:val="000B6DBB"/>
    <w:rsid w:val="000D2BF2"/>
    <w:rsid w:val="000F65C0"/>
    <w:rsid w:val="000F7DEC"/>
    <w:rsid w:val="00103BA5"/>
    <w:rsid w:val="00122491"/>
    <w:rsid w:val="001417FD"/>
    <w:rsid w:val="001939BA"/>
    <w:rsid w:val="001C5225"/>
    <w:rsid w:val="001E0219"/>
    <w:rsid w:val="001F1601"/>
    <w:rsid w:val="001F341E"/>
    <w:rsid w:val="00231A1D"/>
    <w:rsid w:val="00243928"/>
    <w:rsid w:val="00244F89"/>
    <w:rsid w:val="00296F20"/>
    <w:rsid w:val="002A2389"/>
    <w:rsid w:val="002C08E2"/>
    <w:rsid w:val="002C1794"/>
    <w:rsid w:val="002E77E3"/>
    <w:rsid w:val="003115B3"/>
    <w:rsid w:val="00314CDA"/>
    <w:rsid w:val="003B6B15"/>
    <w:rsid w:val="003C0B16"/>
    <w:rsid w:val="004213D7"/>
    <w:rsid w:val="0042394B"/>
    <w:rsid w:val="0046670F"/>
    <w:rsid w:val="00473B08"/>
    <w:rsid w:val="00474B5F"/>
    <w:rsid w:val="004B2C9D"/>
    <w:rsid w:val="004C2D29"/>
    <w:rsid w:val="004D5D86"/>
    <w:rsid w:val="004E667D"/>
    <w:rsid w:val="004E6AF9"/>
    <w:rsid w:val="00513FB9"/>
    <w:rsid w:val="00556BFB"/>
    <w:rsid w:val="00567AEF"/>
    <w:rsid w:val="00574907"/>
    <w:rsid w:val="005861B4"/>
    <w:rsid w:val="005874F0"/>
    <w:rsid w:val="005D4ADF"/>
    <w:rsid w:val="005E384D"/>
    <w:rsid w:val="005F2181"/>
    <w:rsid w:val="005F724B"/>
    <w:rsid w:val="0063072B"/>
    <w:rsid w:val="006465F6"/>
    <w:rsid w:val="00662891"/>
    <w:rsid w:val="00675FCB"/>
    <w:rsid w:val="006C3914"/>
    <w:rsid w:val="006D2C51"/>
    <w:rsid w:val="006E04B6"/>
    <w:rsid w:val="00716690"/>
    <w:rsid w:val="0074184E"/>
    <w:rsid w:val="00755F8D"/>
    <w:rsid w:val="00796503"/>
    <w:rsid w:val="007D56C8"/>
    <w:rsid w:val="007E330C"/>
    <w:rsid w:val="007E7303"/>
    <w:rsid w:val="007F7B2F"/>
    <w:rsid w:val="00803162"/>
    <w:rsid w:val="008136B1"/>
    <w:rsid w:val="00895F28"/>
    <w:rsid w:val="008A0F20"/>
    <w:rsid w:val="008A44C2"/>
    <w:rsid w:val="008D1750"/>
    <w:rsid w:val="008E4913"/>
    <w:rsid w:val="008F4594"/>
    <w:rsid w:val="00900464"/>
    <w:rsid w:val="0090100E"/>
    <w:rsid w:val="0093767E"/>
    <w:rsid w:val="009501B7"/>
    <w:rsid w:val="00972A02"/>
    <w:rsid w:val="0099517C"/>
    <w:rsid w:val="009B2ECD"/>
    <w:rsid w:val="009B7914"/>
    <w:rsid w:val="00A3565A"/>
    <w:rsid w:val="00A40313"/>
    <w:rsid w:val="00A50388"/>
    <w:rsid w:val="00A51FAE"/>
    <w:rsid w:val="00A566E7"/>
    <w:rsid w:val="00A613C1"/>
    <w:rsid w:val="00A76A21"/>
    <w:rsid w:val="00A940D3"/>
    <w:rsid w:val="00A96FCA"/>
    <w:rsid w:val="00AA4BE8"/>
    <w:rsid w:val="00AC7BA9"/>
    <w:rsid w:val="00B0425E"/>
    <w:rsid w:val="00B33815"/>
    <w:rsid w:val="00B92AA6"/>
    <w:rsid w:val="00B9498A"/>
    <w:rsid w:val="00BD684A"/>
    <w:rsid w:val="00BE1C78"/>
    <w:rsid w:val="00BF6C06"/>
    <w:rsid w:val="00C171C8"/>
    <w:rsid w:val="00C32DAE"/>
    <w:rsid w:val="00C40E24"/>
    <w:rsid w:val="00C736B5"/>
    <w:rsid w:val="00C82CEC"/>
    <w:rsid w:val="00C96EF5"/>
    <w:rsid w:val="00CE3C6E"/>
    <w:rsid w:val="00D040BA"/>
    <w:rsid w:val="00D32B51"/>
    <w:rsid w:val="00D34145"/>
    <w:rsid w:val="00D34668"/>
    <w:rsid w:val="00D3740E"/>
    <w:rsid w:val="00D82F57"/>
    <w:rsid w:val="00D841A5"/>
    <w:rsid w:val="00D90E39"/>
    <w:rsid w:val="00D914D2"/>
    <w:rsid w:val="00DA0092"/>
    <w:rsid w:val="00DA25DB"/>
    <w:rsid w:val="00DB39E5"/>
    <w:rsid w:val="00DD4251"/>
    <w:rsid w:val="00DF48BB"/>
    <w:rsid w:val="00DF5E54"/>
    <w:rsid w:val="00E00F4F"/>
    <w:rsid w:val="00E02B50"/>
    <w:rsid w:val="00E03F11"/>
    <w:rsid w:val="00E06DC8"/>
    <w:rsid w:val="00E220B5"/>
    <w:rsid w:val="00EA6242"/>
    <w:rsid w:val="00EE0325"/>
    <w:rsid w:val="00EE4B4A"/>
    <w:rsid w:val="00F37C8A"/>
    <w:rsid w:val="00F4213B"/>
    <w:rsid w:val="00F66DED"/>
    <w:rsid w:val="00F67AF4"/>
    <w:rsid w:val="00F849ED"/>
    <w:rsid w:val="00F92398"/>
    <w:rsid w:val="00FD31A0"/>
    <w:rsid w:val="00FE25B3"/>
    <w:rsid w:val="00FF30F2"/>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link w:val="Heading1Char"/>
    <w:qFormat/>
    <w:rsid w:val="00F92398"/>
    <w:pPr>
      <w:outlineLvl w:val="0"/>
    </w:pPr>
    <w:rPr>
      <w:rFonts w:ascii="Arial Black" w:hAnsi="Arial Black"/>
      <w:b w:val="0"/>
      <w:sz w:val="32"/>
    </w:rPr>
  </w:style>
  <w:style w:type="paragraph" w:styleId="Heading2">
    <w:name w:val="heading 2"/>
    <w:basedOn w:val="Normal"/>
    <w:next w:val="Normal"/>
    <w:link w:val="Heading2Char"/>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D34145"/>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A50388"/>
    <w:pPr>
      <w:spacing w:after="160" w:line="240" w:lineRule="exact"/>
    </w:pPr>
    <w:rPr>
      <w:rFonts w:ascii="Verdana" w:hAnsi="Verdana"/>
      <w:sz w:val="20"/>
      <w:lang w:val="en-US"/>
    </w:rPr>
  </w:style>
  <w:style w:type="character" w:styleId="Hyperlink">
    <w:name w:val="Hyperlink"/>
    <w:rsid w:val="00A50388"/>
    <w:rPr>
      <w:color w:val="0000FF"/>
      <w:u w:val="single"/>
    </w:rPr>
  </w:style>
  <w:style w:type="paragraph" w:styleId="ListParagraph">
    <w:name w:val="List Paragraph"/>
    <w:basedOn w:val="Normal"/>
    <w:uiPriority w:val="34"/>
    <w:qFormat/>
    <w:rsid w:val="00A50388"/>
    <w:pPr>
      <w:ind w:left="720"/>
    </w:pPr>
  </w:style>
  <w:style w:type="character" w:customStyle="1" w:styleId="Heading1Char">
    <w:name w:val="Heading 1 Char"/>
    <w:basedOn w:val="DefaultParagraphFont"/>
    <w:link w:val="Heading1"/>
    <w:rsid w:val="00895F28"/>
    <w:rPr>
      <w:rFonts w:ascii="Arial Black" w:hAnsi="Arial Black" w:cs="Arial"/>
      <w:bCs/>
      <w:sz w:val="32"/>
      <w:szCs w:val="32"/>
      <w:lang w:eastAsia="en-US"/>
    </w:rPr>
  </w:style>
  <w:style w:type="character" w:customStyle="1" w:styleId="Heading2Char">
    <w:name w:val="Heading 2 Char"/>
    <w:basedOn w:val="DefaultParagraphFont"/>
    <w:link w:val="Heading2"/>
    <w:rsid w:val="00895F28"/>
    <w:rPr>
      <w:rFonts w:ascii="Arial" w:hAnsi="Arial" w:cs="Arial"/>
      <w:b/>
      <w:bCs/>
      <w:sz w:val="28"/>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link w:val="Heading1Char"/>
    <w:qFormat/>
    <w:rsid w:val="00F92398"/>
    <w:pPr>
      <w:outlineLvl w:val="0"/>
    </w:pPr>
    <w:rPr>
      <w:rFonts w:ascii="Arial Black" w:hAnsi="Arial Black"/>
      <w:b w:val="0"/>
      <w:sz w:val="32"/>
    </w:rPr>
  </w:style>
  <w:style w:type="paragraph" w:styleId="Heading2">
    <w:name w:val="heading 2"/>
    <w:basedOn w:val="Normal"/>
    <w:next w:val="Normal"/>
    <w:link w:val="Heading2Char"/>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D34145"/>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A50388"/>
    <w:pPr>
      <w:spacing w:after="160" w:line="240" w:lineRule="exact"/>
    </w:pPr>
    <w:rPr>
      <w:rFonts w:ascii="Verdana" w:hAnsi="Verdana"/>
      <w:sz w:val="20"/>
      <w:lang w:val="en-US"/>
    </w:rPr>
  </w:style>
  <w:style w:type="character" w:styleId="Hyperlink">
    <w:name w:val="Hyperlink"/>
    <w:rsid w:val="00A50388"/>
    <w:rPr>
      <w:color w:val="0000FF"/>
      <w:u w:val="single"/>
    </w:rPr>
  </w:style>
  <w:style w:type="paragraph" w:styleId="ListParagraph">
    <w:name w:val="List Paragraph"/>
    <w:basedOn w:val="Normal"/>
    <w:uiPriority w:val="34"/>
    <w:qFormat/>
    <w:rsid w:val="00A50388"/>
    <w:pPr>
      <w:ind w:left="720"/>
    </w:pPr>
  </w:style>
  <w:style w:type="character" w:customStyle="1" w:styleId="Heading1Char">
    <w:name w:val="Heading 1 Char"/>
    <w:basedOn w:val="DefaultParagraphFont"/>
    <w:link w:val="Heading1"/>
    <w:rsid w:val="00895F28"/>
    <w:rPr>
      <w:rFonts w:ascii="Arial Black" w:hAnsi="Arial Black" w:cs="Arial"/>
      <w:bCs/>
      <w:sz w:val="32"/>
      <w:szCs w:val="32"/>
      <w:lang w:eastAsia="en-US"/>
    </w:rPr>
  </w:style>
  <w:style w:type="character" w:customStyle="1" w:styleId="Heading2Char">
    <w:name w:val="Heading 2 Char"/>
    <w:basedOn w:val="DefaultParagraphFont"/>
    <w:link w:val="Heading2"/>
    <w:rsid w:val="00895F28"/>
    <w:rPr>
      <w:rFonts w:ascii="Arial" w:hAnsi="Arial" w:cs="Arial"/>
      <w:b/>
      <w:bCs/>
      <w:sz w:val="28"/>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578259">
      <w:bodyDiv w:val="1"/>
      <w:marLeft w:val="0"/>
      <w:marRight w:val="0"/>
      <w:marTop w:val="0"/>
      <w:marBottom w:val="0"/>
      <w:divBdr>
        <w:top w:val="none" w:sz="0" w:space="0" w:color="auto"/>
        <w:left w:val="none" w:sz="0" w:space="0" w:color="auto"/>
        <w:bottom w:val="none" w:sz="0" w:space="0" w:color="auto"/>
        <w:right w:val="none" w:sz="0" w:space="0" w:color="auto"/>
      </w:divBdr>
    </w:div>
    <w:div w:id="1980065689">
      <w:bodyDiv w:val="1"/>
      <w:marLeft w:val="0"/>
      <w:marRight w:val="0"/>
      <w:marTop w:val="0"/>
      <w:marBottom w:val="0"/>
      <w:divBdr>
        <w:top w:val="none" w:sz="0" w:space="0" w:color="auto"/>
        <w:left w:val="none" w:sz="0" w:space="0" w:color="auto"/>
        <w:bottom w:val="none" w:sz="0" w:space="0" w:color="auto"/>
        <w:right w:val="none" w:sz="0" w:space="0" w:color="auto"/>
      </w:divBdr>
    </w:div>
    <w:div w:id="202816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4CB0B-2CA9-44FD-A0C1-D2A290664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1397</Words>
  <Characters>7794</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9173</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Miriam Wearing</cp:lastModifiedBy>
  <cp:revision>2</cp:revision>
  <cp:lastPrinted>2019-04-24T11:01:00Z</cp:lastPrinted>
  <dcterms:created xsi:type="dcterms:W3CDTF">2019-04-29T09:10:00Z</dcterms:created>
  <dcterms:modified xsi:type="dcterms:W3CDTF">2019-04-29T09:10:00Z</dcterms:modified>
</cp:coreProperties>
</file>